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8E023" w14:textId="6B735032" w:rsidR="00CB51AA" w:rsidRDefault="00CD60C3" w:rsidP="00CD60C3">
      <w:pPr>
        <w:jc w:val="center"/>
      </w:pPr>
      <w:bookmarkStart w:id="0" w:name="_GoBack"/>
      <w:bookmarkEnd w:id="0"/>
      <w:r>
        <w:rPr>
          <w:noProof/>
          <w:lang w:eastAsia="en-GB"/>
        </w:rPr>
        <w:drawing>
          <wp:inline distT="0" distB="0" distL="0" distR="0" wp14:anchorId="41D88A78" wp14:editId="69CE40FF">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C_BLK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5135" cy="1905135"/>
                    </a:xfrm>
                    <a:prstGeom prst="rect">
                      <a:avLst/>
                    </a:prstGeom>
                  </pic:spPr>
                </pic:pic>
              </a:graphicData>
            </a:graphic>
          </wp:inline>
        </w:drawing>
      </w:r>
    </w:p>
    <w:p w14:paraId="541F3147" w14:textId="1ED86AE6" w:rsidR="00CD60C3" w:rsidRPr="00CD60C3" w:rsidRDefault="00CD60C3" w:rsidP="00CD60C3">
      <w:pPr>
        <w:pStyle w:val="NoSpacing"/>
        <w:jc w:val="center"/>
        <w:rPr>
          <w:b/>
          <w:sz w:val="32"/>
          <w:szCs w:val="24"/>
        </w:rPr>
      </w:pPr>
      <w:r w:rsidRPr="00CD60C3">
        <w:rPr>
          <w:b/>
          <w:sz w:val="32"/>
          <w:szCs w:val="24"/>
        </w:rPr>
        <w:t>Update: Seasonal Flu Vaccines for 2018-19</w:t>
      </w:r>
    </w:p>
    <w:p w14:paraId="6F89ADDA" w14:textId="77777777" w:rsidR="00CD60C3" w:rsidRDefault="00CD60C3" w:rsidP="00AB419D">
      <w:pPr>
        <w:pStyle w:val="NoSpacing"/>
      </w:pPr>
    </w:p>
    <w:p w14:paraId="13AC2618" w14:textId="6A6734B1" w:rsidR="00CD60C3" w:rsidRPr="00AB419D" w:rsidRDefault="00CD60C3" w:rsidP="00AB419D">
      <w:pPr>
        <w:pStyle w:val="NoSpacing"/>
        <w:rPr>
          <w:sz w:val="24"/>
        </w:rPr>
      </w:pPr>
      <w:r w:rsidRPr="00AB419D">
        <w:rPr>
          <w:sz w:val="24"/>
        </w:rPr>
        <w:t xml:space="preserve">NHS England has released its ‘definitive’ </w:t>
      </w:r>
      <w:hyperlink r:id="rId7" w:history="1">
        <w:r w:rsidRPr="00534917">
          <w:rPr>
            <w:rStyle w:val="Hyperlink"/>
            <w:b/>
            <w:sz w:val="24"/>
          </w:rPr>
          <w:t>guidance</w:t>
        </w:r>
      </w:hyperlink>
      <w:r w:rsidRPr="00AB419D">
        <w:rPr>
          <w:sz w:val="24"/>
        </w:rPr>
        <w:t xml:space="preserve"> for GP practices about which flu vaccines to use for the 2018-19 season.</w:t>
      </w:r>
    </w:p>
    <w:p w14:paraId="51738975" w14:textId="586D4144" w:rsidR="00CD60C3" w:rsidRPr="00AB419D" w:rsidRDefault="00CD60C3" w:rsidP="00AB419D">
      <w:pPr>
        <w:pStyle w:val="NoSpacing"/>
        <w:rPr>
          <w:sz w:val="24"/>
        </w:rPr>
      </w:pPr>
    </w:p>
    <w:p w14:paraId="62C44934" w14:textId="77777777" w:rsidR="0080236C" w:rsidRDefault="00AB419D" w:rsidP="00AB419D">
      <w:pPr>
        <w:pStyle w:val="NoSpacing"/>
        <w:rPr>
          <w:sz w:val="24"/>
        </w:rPr>
      </w:pPr>
      <w:r>
        <w:rPr>
          <w:sz w:val="24"/>
        </w:rPr>
        <w:t xml:space="preserve">NHS England is now advising all practices to use the adjuvanted trivalent vaccine (Fluad - Seqirus) for all patients over 65 and a quadrivalent vaccine for any ‘at risk’ groups </w:t>
      </w:r>
      <w:r w:rsidR="0080236C">
        <w:rPr>
          <w:sz w:val="24"/>
        </w:rPr>
        <w:t xml:space="preserve">including pregnant women </w:t>
      </w:r>
      <w:r>
        <w:rPr>
          <w:sz w:val="24"/>
        </w:rPr>
        <w:t>aged 18-65</w:t>
      </w:r>
      <w:r w:rsidR="0096077A">
        <w:rPr>
          <w:sz w:val="24"/>
        </w:rPr>
        <w:t xml:space="preserve"> years</w:t>
      </w:r>
      <w:r>
        <w:rPr>
          <w:sz w:val="24"/>
        </w:rPr>
        <w:t xml:space="preserve">. </w:t>
      </w:r>
    </w:p>
    <w:p w14:paraId="6F58F8B9" w14:textId="77777777" w:rsidR="0080236C" w:rsidRDefault="0080236C" w:rsidP="00AB419D">
      <w:pPr>
        <w:pStyle w:val="NoSpacing"/>
        <w:rPr>
          <w:sz w:val="24"/>
        </w:rPr>
      </w:pPr>
    </w:p>
    <w:p w14:paraId="358F9DFA" w14:textId="02492C37" w:rsidR="00AB419D" w:rsidRDefault="00AB419D" w:rsidP="00AB419D">
      <w:pPr>
        <w:pStyle w:val="NoSpacing"/>
        <w:rPr>
          <w:sz w:val="24"/>
        </w:rPr>
      </w:pPr>
      <w:r>
        <w:rPr>
          <w:sz w:val="24"/>
        </w:rPr>
        <w:t>Th</w:t>
      </w:r>
      <w:r w:rsidR="0080236C">
        <w:rPr>
          <w:sz w:val="24"/>
        </w:rPr>
        <w:t>is</w:t>
      </w:r>
      <w:r>
        <w:rPr>
          <w:sz w:val="24"/>
        </w:rPr>
        <w:t xml:space="preserve"> decision has been based on </w:t>
      </w:r>
      <w:r w:rsidR="0096077A">
        <w:rPr>
          <w:sz w:val="24"/>
        </w:rPr>
        <w:t>clinical evidence</w:t>
      </w:r>
      <w:r w:rsidR="00E02CB8">
        <w:rPr>
          <w:sz w:val="24"/>
        </w:rPr>
        <w:t xml:space="preserve"> from </w:t>
      </w:r>
      <w:r w:rsidR="0096077A">
        <w:rPr>
          <w:sz w:val="24"/>
        </w:rPr>
        <w:t>the</w:t>
      </w:r>
      <w:r w:rsidR="00E02CB8">
        <w:rPr>
          <w:sz w:val="24"/>
        </w:rPr>
        <w:t xml:space="preserve"> </w:t>
      </w:r>
      <w:r w:rsidR="0096077A" w:rsidRPr="0096077A">
        <w:rPr>
          <w:sz w:val="24"/>
        </w:rPr>
        <w:t>Joint Committee on Vaccination and Immunisation (JCVI)</w:t>
      </w:r>
      <w:r w:rsidR="0096077A">
        <w:rPr>
          <w:sz w:val="24"/>
        </w:rPr>
        <w:t xml:space="preserve"> and cost effectiveness studies by Public Health England.</w:t>
      </w:r>
    </w:p>
    <w:p w14:paraId="4C31E058" w14:textId="6D9387D8" w:rsidR="0080236C" w:rsidRDefault="0080236C" w:rsidP="00AB419D">
      <w:pPr>
        <w:pStyle w:val="NoSpacing"/>
        <w:rPr>
          <w:sz w:val="24"/>
        </w:rPr>
      </w:pPr>
    </w:p>
    <w:p w14:paraId="4FCF5FA1" w14:textId="69181CE2" w:rsidR="00182A19" w:rsidRDefault="00FC4ED5" w:rsidP="00AB419D">
      <w:pPr>
        <w:pStyle w:val="NoSpacing"/>
        <w:rPr>
          <w:sz w:val="24"/>
        </w:rPr>
      </w:pPr>
      <w:r>
        <w:rPr>
          <w:sz w:val="24"/>
        </w:rPr>
        <w:t xml:space="preserve">Suppliers of the adjuvanted trivalent and quadrivalent vaccines have given NHS England assurances that they will be able to cope with the increased demand for their vaccines. </w:t>
      </w:r>
    </w:p>
    <w:p w14:paraId="5D190881" w14:textId="2468271D" w:rsidR="00FC4ED5" w:rsidRDefault="00FC4ED5" w:rsidP="00AB419D">
      <w:pPr>
        <w:pStyle w:val="NoSpacing"/>
        <w:rPr>
          <w:sz w:val="24"/>
        </w:rPr>
      </w:pPr>
    </w:p>
    <w:p w14:paraId="4AB14CBD" w14:textId="27A9F315" w:rsidR="00FC4ED5" w:rsidRDefault="00FC4ED5" w:rsidP="00AB419D">
      <w:pPr>
        <w:pStyle w:val="NoSpacing"/>
        <w:rPr>
          <w:sz w:val="24"/>
        </w:rPr>
      </w:pPr>
      <w:r>
        <w:rPr>
          <w:sz w:val="24"/>
        </w:rPr>
        <w:t xml:space="preserve">Additional funding has been found to cover the additional costs of using the adjuvanted trivalent and quadrivalent </w:t>
      </w:r>
      <w:r w:rsidR="00553502">
        <w:rPr>
          <w:sz w:val="24"/>
        </w:rPr>
        <w:t>vaccines,</w:t>
      </w:r>
      <w:r>
        <w:rPr>
          <w:sz w:val="24"/>
        </w:rPr>
        <w:t xml:space="preserve"> so practices do not need to worry about not being reimbursed.</w:t>
      </w:r>
    </w:p>
    <w:p w14:paraId="3DDF427F" w14:textId="3906E21F" w:rsidR="003577E6" w:rsidRDefault="003577E6" w:rsidP="00AB419D">
      <w:pPr>
        <w:pStyle w:val="NoSpacing"/>
        <w:rPr>
          <w:sz w:val="24"/>
        </w:rPr>
      </w:pPr>
    </w:p>
    <w:p w14:paraId="581D8CE3" w14:textId="46F32614" w:rsidR="003577E6" w:rsidRDefault="003577E6" w:rsidP="00AB419D">
      <w:pPr>
        <w:pStyle w:val="NoSpacing"/>
        <w:rPr>
          <w:sz w:val="24"/>
        </w:rPr>
      </w:pPr>
      <w:r>
        <w:rPr>
          <w:sz w:val="24"/>
        </w:rPr>
        <w:t xml:space="preserve">Please note that practices will still need to order trivalent vaccines for any at risk patients age six months to two years as Fluenz, Fluad and quadrivalent vaccines aren’t licensed for this age group. MASTA, Mylan and Seqirus can provide vaccines </w:t>
      </w:r>
      <w:r w:rsidR="00822048">
        <w:rPr>
          <w:sz w:val="24"/>
        </w:rPr>
        <w:t xml:space="preserve">suitable </w:t>
      </w:r>
      <w:r>
        <w:rPr>
          <w:sz w:val="24"/>
        </w:rPr>
        <w:t>for children age s</w:t>
      </w:r>
      <w:r w:rsidR="00822048">
        <w:rPr>
          <w:sz w:val="24"/>
        </w:rPr>
        <w:t>ix months and above. For more information on these discounts, please visit our website.</w:t>
      </w:r>
    </w:p>
    <w:p w14:paraId="1B2DF372" w14:textId="77777777" w:rsidR="00182A19" w:rsidRDefault="00182A19" w:rsidP="00AB419D">
      <w:pPr>
        <w:pStyle w:val="NoSpacing"/>
        <w:rPr>
          <w:sz w:val="24"/>
        </w:rPr>
      </w:pPr>
    </w:p>
    <w:p w14:paraId="1839210F" w14:textId="434BFF94" w:rsidR="0080236C" w:rsidRDefault="0080236C" w:rsidP="00AB419D">
      <w:pPr>
        <w:pStyle w:val="NoSpacing"/>
        <w:rPr>
          <w:sz w:val="24"/>
        </w:rPr>
      </w:pPr>
      <w:r>
        <w:rPr>
          <w:sz w:val="24"/>
        </w:rPr>
        <w:t xml:space="preserve">As this definitive guidance was released after most practices would have placed their vaccine order with their preferred supplier, we have spoken with the four companies we </w:t>
      </w:r>
      <w:r w:rsidR="00182A19">
        <w:rPr>
          <w:sz w:val="24"/>
        </w:rPr>
        <w:t>negotiated discounts with for the 2018-19 season to compile advice for those practices that now need to cancel or amend their original vaccine orders</w:t>
      </w:r>
      <w:r w:rsidR="004E7CC7">
        <w:rPr>
          <w:sz w:val="24"/>
        </w:rPr>
        <w:t xml:space="preserve"> (see next pages)</w:t>
      </w:r>
      <w:r w:rsidR="00182A19">
        <w:rPr>
          <w:sz w:val="24"/>
        </w:rPr>
        <w:t>.</w:t>
      </w:r>
    </w:p>
    <w:p w14:paraId="5ABAB718" w14:textId="480EF281" w:rsidR="00822048" w:rsidRDefault="00822048" w:rsidP="00AB419D">
      <w:pPr>
        <w:pStyle w:val="NoSpacing"/>
        <w:rPr>
          <w:sz w:val="24"/>
        </w:rPr>
      </w:pPr>
    </w:p>
    <w:p w14:paraId="5730DF5F" w14:textId="77777777" w:rsidR="00822048" w:rsidRDefault="00822048" w:rsidP="00AB419D">
      <w:pPr>
        <w:pStyle w:val="NoSpacing"/>
        <w:rPr>
          <w:sz w:val="24"/>
        </w:rPr>
      </w:pPr>
      <w:r>
        <w:rPr>
          <w:sz w:val="24"/>
        </w:rPr>
        <w:t xml:space="preserve">If you have any questions, please call us on 0115 979 6910, email </w:t>
      </w:r>
      <w:hyperlink r:id="rId8" w:history="1">
        <w:r w:rsidRPr="003E4502">
          <w:rPr>
            <w:rStyle w:val="Hyperlink"/>
            <w:sz w:val="24"/>
          </w:rPr>
          <w:t>info@lmcbuyinggroups.co.uk</w:t>
        </w:r>
      </w:hyperlink>
      <w:r>
        <w:rPr>
          <w:sz w:val="24"/>
        </w:rPr>
        <w:t xml:space="preserve"> or Live Chat with us via the website: </w:t>
      </w:r>
      <w:hyperlink r:id="rId9" w:history="1">
        <w:r w:rsidRPr="003E4502">
          <w:rPr>
            <w:rStyle w:val="Hyperlink"/>
            <w:sz w:val="24"/>
          </w:rPr>
          <w:t>https://www.lmcbuyinggroups.co.uk/</w:t>
        </w:r>
      </w:hyperlink>
      <w:r>
        <w:rPr>
          <w:sz w:val="24"/>
        </w:rPr>
        <w:t xml:space="preserve">. </w:t>
      </w:r>
    </w:p>
    <w:p w14:paraId="6736E0D6" w14:textId="77777777" w:rsidR="00822048" w:rsidRDefault="00822048" w:rsidP="00AB419D">
      <w:pPr>
        <w:pStyle w:val="NoSpacing"/>
        <w:rPr>
          <w:sz w:val="24"/>
        </w:rPr>
      </w:pPr>
    </w:p>
    <w:p w14:paraId="378BBCB2" w14:textId="4CB74E6C" w:rsidR="002317C4" w:rsidRDefault="00822048" w:rsidP="002317C4">
      <w:pPr>
        <w:pStyle w:val="NoSpacing"/>
        <w:rPr>
          <w:sz w:val="24"/>
        </w:rPr>
      </w:pPr>
      <w:r>
        <w:rPr>
          <w:sz w:val="24"/>
        </w:rPr>
        <w:t xml:space="preserve">To have full access to the website and </w:t>
      </w:r>
      <w:r w:rsidR="002317C4">
        <w:rPr>
          <w:sz w:val="24"/>
        </w:rPr>
        <w:t xml:space="preserve">the Buying Group discounts and service, please complete the registration form on the website: </w:t>
      </w:r>
      <w:hyperlink r:id="rId10" w:history="1">
        <w:r w:rsidR="002317C4" w:rsidRPr="003E4502">
          <w:rPr>
            <w:rStyle w:val="Hyperlink"/>
            <w:sz w:val="24"/>
          </w:rPr>
          <w:t>https://www.lmcbuyinggroups.co.uk/members/</w:t>
        </w:r>
      </w:hyperlink>
      <w:r w:rsidR="002317C4">
        <w:rPr>
          <w:sz w:val="24"/>
        </w:rPr>
        <w:t xml:space="preserve">.  </w:t>
      </w:r>
    </w:p>
    <w:p w14:paraId="007A1017" w14:textId="74A6A16D" w:rsidR="00822048" w:rsidRDefault="00822048" w:rsidP="00AB419D">
      <w:pPr>
        <w:pStyle w:val="NoSpacing"/>
        <w:rPr>
          <w:sz w:val="24"/>
        </w:rPr>
      </w:pPr>
    </w:p>
    <w:p w14:paraId="767FC057" w14:textId="77777777" w:rsidR="00B778D3" w:rsidRPr="00E40CBA" w:rsidRDefault="00B778D3" w:rsidP="00B778D3">
      <w:pPr>
        <w:pStyle w:val="NoSpacing"/>
        <w:rPr>
          <w:b/>
          <w:sz w:val="28"/>
        </w:rPr>
      </w:pPr>
      <w:r w:rsidRPr="00E40CBA">
        <w:rPr>
          <w:b/>
          <w:sz w:val="28"/>
        </w:rPr>
        <w:lastRenderedPageBreak/>
        <w:t>Seqirus</w:t>
      </w:r>
    </w:p>
    <w:p w14:paraId="1E02C1E8" w14:textId="1F709FE0" w:rsidR="00B778D3" w:rsidRDefault="00B778D3" w:rsidP="00B778D3">
      <w:pPr>
        <w:pStyle w:val="NoSpacing"/>
        <w:rPr>
          <w:sz w:val="24"/>
        </w:rPr>
      </w:pPr>
    </w:p>
    <w:p w14:paraId="3EB20C59" w14:textId="788151D9" w:rsidR="00B778D3" w:rsidRDefault="00B778D3" w:rsidP="00B778D3">
      <w:pPr>
        <w:pStyle w:val="NoSpacing"/>
        <w:rPr>
          <w:sz w:val="24"/>
        </w:rPr>
      </w:pPr>
      <w:r>
        <w:rPr>
          <w:sz w:val="24"/>
        </w:rPr>
        <w:t xml:space="preserve">Seqirus is the only company producing an adjuvanted trivalent vaccine for over 65s for the 2018-19 season. </w:t>
      </w:r>
    </w:p>
    <w:p w14:paraId="19BC0B37" w14:textId="39517D21" w:rsidR="00B778D3" w:rsidRDefault="00B778D3" w:rsidP="00B778D3">
      <w:pPr>
        <w:pStyle w:val="NoSpacing"/>
        <w:rPr>
          <w:sz w:val="24"/>
        </w:rPr>
      </w:pPr>
    </w:p>
    <w:p w14:paraId="063A289E" w14:textId="79FB6418" w:rsidR="00B778D3" w:rsidRDefault="00B778D3" w:rsidP="00B778D3">
      <w:pPr>
        <w:pStyle w:val="NoSpacing"/>
        <w:rPr>
          <w:sz w:val="24"/>
        </w:rPr>
      </w:pPr>
      <w:r>
        <w:rPr>
          <w:sz w:val="24"/>
        </w:rPr>
        <w:t xml:space="preserve">Our members still have access to their ‘early bird’ </w:t>
      </w:r>
      <w:r w:rsidR="0022065B">
        <w:rPr>
          <w:sz w:val="24"/>
        </w:rPr>
        <w:t>discount</w:t>
      </w:r>
      <w:r w:rsidR="006A1CE7">
        <w:rPr>
          <w:sz w:val="24"/>
        </w:rPr>
        <w:t xml:space="preserve"> of 40.3%</w:t>
      </w:r>
      <w:r w:rsidR="00E40CBA">
        <w:rPr>
          <w:sz w:val="24"/>
        </w:rPr>
        <w:t xml:space="preserve"> until 16 February 2018</w:t>
      </w:r>
      <w:r w:rsidR="006A1CE7">
        <w:rPr>
          <w:sz w:val="24"/>
        </w:rPr>
        <w:t xml:space="preserve">. </w:t>
      </w:r>
    </w:p>
    <w:p w14:paraId="4FD85569" w14:textId="578AEB57" w:rsidR="00B778D3" w:rsidRDefault="00B778D3" w:rsidP="00B778D3">
      <w:pPr>
        <w:pStyle w:val="NoSpacing"/>
        <w:rPr>
          <w:sz w:val="24"/>
        </w:rPr>
      </w:pPr>
    </w:p>
    <w:tbl>
      <w:tblPr>
        <w:tblStyle w:val="TableGrid1"/>
        <w:tblW w:w="0" w:type="auto"/>
        <w:tblInd w:w="534" w:type="dxa"/>
        <w:tblLook w:val="04A0" w:firstRow="1" w:lastRow="0" w:firstColumn="1" w:lastColumn="0" w:noHBand="0" w:noVBand="1"/>
      </w:tblPr>
      <w:tblGrid>
        <w:gridCol w:w="5208"/>
        <w:gridCol w:w="2754"/>
      </w:tblGrid>
      <w:tr w:rsidR="006A1CE7" w:rsidRPr="006A1CE7" w14:paraId="22639188" w14:textId="77777777" w:rsidTr="006A1CE7">
        <w:tc>
          <w:tcPr>
            <w:tcW w:w="5208" w:type="dxa"/>
            <w:tcBorders>
              <w:top w:val="single" w:sz="4" w:space="0" w:color="auto"/>
              <w:left w:val="single" w:sz="4" w:space="0" w:color="auto"/>
              <w:bottom w:val="single" w:sz="4" w:space="0" w:color="auto"/>
              <w:right w:val="single" w:sz="4" w:space="0" w:color="auto"/>
            </w:tcBorders>
            <w:vAlign w:val="center"/>
            <w:hideMark/>
          </w:tcPr>
          <w:p w14:paraId="66AE845C" w14:textId="77777777" w:rsidR="006A1CE7" w:rsidRPr="006A1CE7" w:rsidRDefault="006A1CE7" w:rsidP="006A1CE7">
            <w:pPr>
              <w:rPr>
                <w:rFonts w:ascii="Calibri" w:hAnsi="Calibri"/>
                <w:b/>
                <w:bCs/>
                <w:sz w:val="28"/>
                <w:szCs w:val="28"/>
                <w:lang w:eastAsia="en-GB"/>
              </w:rPr>
            </w:pPr>
          </w:p>
        </w:tc>
        <w:tc>
          <w:tcPr>
            <w:tcW w:w="0" w:type="auto"/>
            <w:tcBorders>
              <w:top w:val="single" w:sz="4" w:space="0" w:color="auto"/>
              <w:left w:val="single" w:sz="4" w:space="0" w:color="auto"/>
              <w:bottom w:val="single" w:sz="4" w:space="0" w:color="auto"/>
              <w:right w:val="single" w:sz="4" w:space="0" w:color="auto"/>
            </w:tcBorders>
            <w:hideMark/>
          </w:tcPr>
          <w:p w14:paraId="5018A858" w14:textId="77777777" w:rsidR="006A1CE7" w:rsidRPr="006A1CE7" w:rsidRDefault="006A1CE7" w:rsidP="006A1CE7">
            <w:pPr>
              <w:jc w:val="center"/>
              <w:rPr>
                <w:rFonts w:ascii="Calibri" w:hAnsi="Calibri"/>
                <w:b/>
                <w:sz w:val="24"/>
                <w:lang w:eastAsia="en-GB"/>
              </w:rPr>
            </w:pPr>
            <w:r w:rsidRPr="006A1CE7">
              <w:rPr>
                <w:rFonts w:ascii="Calibri" w:hAnsi="Calibri"/>
                <w:b/>
                <w:sz w:val="24"/>
                <w:lang w:eastAsia="en-GB"/>
              </w:rPr>
              <w:t>Orders before</w:t>
            </w:r>
          </w:p>
          <w:p w14:paraId="5CFF1986" w14:textId="2C7B97BB" w:rsidR="006A1CE7" w:rsidRPr="006A1CE7" w:rsidRDefault="006A1CE7" w:rsidP="006A1CE7">
            <w:pPr>
              <w:jc w:val="center"/>
              <w:rPr>
                <w:rFonts w:ascii="Calibri" w:hAnsi="Calibri"/>
                <w:b/>
                <w:sz w:val="24"/>
                <w:lang w:eastAsia="en-GB"/>
              </w:rPr>
            </w:pPr>
            <w:r>
              <w:rPr>
                <w:rFonts w:ascii="Calibri" w:hAnsi="Calibri"/>
                <w:b/>
                <w:sz w:val="24"/>
                <w:lang w:eastAsia="en-GB"/>
              </w:rPr>
              <w:t>16 February</w:t>
            </w:r>
            <w:r w:rsidRPr="006A1CE7">
              <w:rPr>
                <w:rFonts w:ascii="Calibri" w:hAnsi="Calibri"/>
                <w:b/>
                <w:sz w:val="24"/>
                <w:lang w:eastAsia="en-GB"/>
              </w:rPr>
              <w:t xml:space="preserve"> 201</w:t>
            </w:r>
            <w:r>
              <w:rPr>
                <w:rFonts w:ascii="Calibri" w:hAnsi="Calibri"/>
                <w:b/>
                <w:sz w:val="24"/>
                <w:lang w:eastAsia="en-GB"/>
              </w:rPr>
              <w:t>8</w:t>
            </w:r>
            <w:r w:rsidRPr="006A1CE7">
              <w:rPr>
                <w:rFonts w:ascii="Calibri" w:hAnsi="Calibri"/>
                <w:b/>
                <w:sz w:val="24"/>
                <w:lang w:eastAsia="en-GB"/>
              </w:rPr>
              <w:t xml:space="preserve"> (40.3%)</w:t>
            </w:r>
          </w:p>
        </w:tc>
      </w:tr>
      <w:tr w:rsidR="006A1CE7" w:rsidRPr="006A1CE7" w14:paraId="732A1777" w14:textId="77777777" w:rsidTr="006A1CE7">
        <w:tc>
          <w:tcPr>
            <w:tcW w:w="5208" w:type="dxa"/>
            <w:tcBorders>
              <w:top w:val="single" w:sz="4" w:space="0" w:color="auto"/>
              <w:left w:val="single" w:sz="4" w:space="0" w:color="auto"/>
              <w:bottom w:val="single" w:sz="4" w:space="0" w:color="auto"/>
              <w:right w:val="single" w:sz="4" w:space="0" w:color="auto"/>
            </w:tcBorders>
            <w:hideMark/>
          </w:tcPr>
          <w:p w14:paraId="60D2C8B3" w14:textId="77777777" w:rsidR="006A1CE7" w:rsidRPr="006A1CE7" w:rsidRDefault="006A1CE7" w:rsidP="006A1CE7">
            <w:pPr>
              <w:rPr>
                <w:rFonts w:ascii="Calibri" w:hAnsi="Calibri"/>
                <w:sz w:val="24"/>
                <w:lang w:eastAsia="en-GB"/>
              </w:rPr>
            </w:pPr>
            <w:r w:rsidRPr="006A1CE7">
              <w:rPr>
                <w:rFonts w:ascii="Calibri" w:hAnsi="Calibri"/>
                <w:sz w:val="24"/>
                <w:lang w:eastAsia="en-GB"/>
              </w:rPr>
              <w:t>NHS Price</w:t>
            </w:r>
          </w:p>
        </w:tc>
        <w:tc>
          <w:tcPr>
            <w:tcW w:w="0" w:type="auto"/>
            <w:hideMark/>
          </w:tcPr>
          <w:p w14:paraId="116A6102" w14:textId="77777777" w:rsidR="006A1CE7" w:rsidRPr="006A1CE7" w:rsidRDefault="006A1CE7" w:rsidP="006A1CE7">
            <w:pPr>
              <w:jc w:val="center"/>
              <w:rPr>
                <w:rFonts w:ascii="Calibri" w:hAnsi="Calibri"/>
                <w:sz w:val="24"/>
              </w:rPr>
            </w:pPr>
            <w:r w:rsidRPr="006A1CE7">
              <w:rPr>
                <w:rFonts w:ascii="Calibri" w:hAnsi="Calibri"/>
                <w:sz w:val="24"/>
              </w:rPr>
              <w:t>£9.79</w:t>
            </w:r>
          </w:p>
        </w:tc>
      </w:tr>
      <w:tr w:rsidR="006A1CE7" w:rsidRPr="006A1CE7" w14:paraId="032E1EBC" w14:textId="77777777" w:rsidTr="006A1CE7">
        <w:tc>
          <w:tcPr>
            <w:tcW w:w="5208" w:type="dxa"/>
            <w:tcBorders>
              <w:top w:val="single" w:sz="4" w:space="0" w:color="auto"/>
              <w:left w:val="single" w:sz="4" w:space="0" w:color="auto"/>
              <w:bottom w:val="single" w:sz="4" w:space="0" w:color="auto"/>
              <w:right w:val="single" w:sz="4" w:space="0" w:color="auto"/>
            </w:tcBorders>
            <w:hideMark/>
          </w:tcPr>
          <w:p w14:paraId="30D314C9" w14:textId="77777777" w:rsidR="006A1CE7" w:rsidRPr="006A1CE7" w:rsidRDefault="006A1CE7" w:rsidP="006A1CE7">
            <w:pPr>
              <w:rPr>
                <w:rFonts w:ascii="Calibri" w:hAnsi="Calibri"/>
                <w:sz w:val="24"/>
                <w:lang w:eastAsia="en-GB"/>
              </w:rPr>
            </w:pPr>
            <w:r w:rsidRPr="006A1CE7">
              <w:rPr>
                <w:rFonts w:ascii="Calibri" w:hAnsi="Calibri"/>
                <w:sz w:val="24"/>
                <w:lang w:eastAsia="en-GB"/>
              </w:rPr>
              <w:t>Dispensing fee*</w:t>
            </w:r>
          </w:p>
        </w:tc>
        <w:tc>
          <w:tcPr>
            <w:tcW w:w="0" w:type="auto"/>
            <w:hideMark/>
          </w:tcPr>
          <w:p w14:paraId="2CD133DE" w14:textId="77777777" w:rsidR="006A1CE7" w:rsidRPr="006A1CE7" w:rsidRDefault="006A1CE7" w:rsidP="006A1CE7">
            <w:pPr>
              <w:jc w:val="center"/>
              <w:rPr>
                <w:rFonts w:ascii="Calibri" w:hAnsi="Calibri"/>
                <w:sz w:val="24"/>
              </w:rPr>
            </w:pPr>
            <w:r w:rsidRPr="006A1CE7">
              <w:rPr>
                <w:rFonts w:ascii="Calibri" w:hAnsi="Calibri"/>
                <w:sz w:val="24"/>
              </w:rPr>
              <w:t>£2.209</w:t>
            </w:r>
          </w:p>
        </w:tc>
      </w:tr>
      <w:tr w:rsidR="006A1CE7" w:rsidRPr="006A1CE7" w14:paraId="51056FD8" w14:textId="77777777" w:rsidTr="006A1CE7">
        <w:tc>
          <w:tcPr>
            <w:tcW w:w="5208" w:type="dxa"/>
            <w:tcBorders>
              <w:top w:val="single" w:sz="4" w:space="0" w:color="auto"/>
              <w:left w:val="single" w:sz="4" w:space="0" w:color="auto"/>
              <w:bottom w:val="single" w:sz="4" w:space="0" w:color="auto"/>
              <w:right w:val="single" w:sz="4" w:space="0" w:color="auto"/>
            </w:tcBorders>
            <w:hideMark/>
          </w:tcPr>
          <w:p w14:paraId="1B5DB3A4" w14:textId="77777777" w:rsidR="006A1CE7" w:rsidRPr="006A1CE7" w:rsidRDefault="006A1CE7" w:rsidP="006A1CE7">
            <w:pPr>
              <w:rPr>
                <w:rFonts w:ascii="Calibri" w:hAnsi="Calibri"/>
                <w:sz w:val="24"/>
                <w:lang w:eastAsia="en-GB"/>
              </w:rPr>
            </w:pPr>
            <w:r w:rsidRPr="006A1CE7">
              <w:rPr>
                <w:rFonts w:ascii="Calibri" w:hAnsi="Calibri"/>
                <w:sz w:val="24"/>
                <w:lang w:eastAsia="en-GB"/>
              </w:rPr>
              <w:t>VAT (20%)</w:t>
            </w:r>
          </w:p>
        </w:tc>
        <w:tc>
          <w:tcPr>
            <w:tcW w:w="0" w:type="auto"/>
            <w:hideMark/>
          </w:tcPr>
          <w:p w14:paraId="74C16DE6" w14:textId="77777777" w:rsidR="006A1CE7" w:rsidRPr="006A1CE7" w:rsidRDefault="006A1CE7" w:rsidP="006A1CE7">
            <w:pPr>
              <w:jc w:val="center"/>
              <w:rPr>
                <w:rFonts w:ascii="Calibri" w:hAnsi="Calibri"/>
                <w:sz w:val="24"/>
              </w:rPr>
            </w:pPr>
            <w:r w:rsidRPr="006A1CE7">
              <w:rPr>
                <w:rFonts w:ascii="Calibri" w:hAnsi="Calibri"/>
                <w:sz w:val="24"/>
              </w:rPr>
              <w:t>£1.96</w:t>
            </w:r>
          </w:p>
        </w:tc>
      </w:tr>
      <w:tr w:rsidR="006A1CE7" w:rsidRPr="006A1CE7" w14:paraId="0CBBF447" w14:textId="77777777" w:rsidTr="006A1CE7">
        <w:tc>
          <w:tcPr>
            <w:tcW w:w="5208" w:type="dxa"/>
            <w:tcBorders>
              <w:top w:val="single" w:sz="4" w:space="0" w:color="auto"/>
              <w:left w:val="single" w:sz="4" w:space="0" w:color="auto"/>
              <w:bottom w:val="single" w:sz="4" w:space="0" w:color="auto"/>
              <w:right w:val="single" w:sz="4" w:space="0" w:color="auto"/>
            </w:tcBorders>
            <w:hideMark/>
          </w:tcPr>
          <w:p w14:paraId="58A09439" w14:textId="77777777" w:rsidR="006A1CE7" w:rsidRPr="006A1CE7" w:rsidRDefault="006A1CE7" w:rsidP="006A1CE7">
            <w:pPr>
              <w:rPr>
                <w:rFonts w:ascii="Calibri" w:hAnsi="Calibri"/>
                <w:sz w:val="28"/>
                <w:lang w:eastAsia="en-GB"/>
              </w:rPr>
            </w:pPr>
            <w:r w:rsidRPr="006A1CE7">
              <w:rPr>
                <w:rFonts w:ascii="Calibri" w:hAnsi="Calibri"/>
                <w:b/>
                <w:sz w:val="28"/>
                <w:lang w:eastAsia="en-GB"/>
              </w:rPr>
              <w:t>Total NHS Reimbursement</w:t>
            </w:r>
          </w:p>
        </w:tc>
        <w:tc>
          <w:tcPr>
            <w:tcW w:w="0" w:type="auto"/>
            <w:hideMark/>
          </w:tcPr>
          <w:p w14:paraId="236337FC" w14:textId="77777777" w:rsidR="006A1CE7" w:rsidRPr="006A1CE7" w:rsidRDefault="006A1CE7" w:rsidP="006A1CE7">
            <w:pPr>
              <w:jc w:val="center"/>
              <w:rPr>
                <w:rFonts w:ascii="Calibri" w:hAnsi="Calibri"/>
                <w:b/>
                <w:sz w:val="28"/>
              </w:rPr>
            </w:pPr>
            <w:r w:rsidRPr="006A1CE7">
              <w:rPr>
                <w:rFonts w:ascii="Calibri" w:hAnsi="Calibri"/>
                <w:b/>
                <w:sz w:val="28"/>
              </w:rPr>
              <w:t>£13.96</w:t>
            </w:r>
          </w:p>
        </w:tc>
      </w:tr>
      <w:tr w:rsidR="006A1CE7" w:rsidRPr="006A1CE7" w14:paraId="5CE25DBC" w14:textId="77777777" w:rsidTr="00BA0305">
        <w:tc>
          <w:tcPr>
            <w:tcW w:w="5208" w:type="dxa"/>
            <w:tcBorders>
              <w:top w:val="single" w:sz="4" w:space="0" w:color="auto"/>
              <w:left w:val="single" w:sz="4" w:space="0" w:color="auto"/>
              <w:bottom w:val="single" w:sz="4" w:space="0" w:color="auto"/>
              <w:right w:val="single" w:sz="4" w:space="0" w:color="auto"/>
            </w:tcBorders>
            <w:hideMark/>
          </w:tcPr>
          <w:p w14:paraId="2196F01B" w14:textId="77777777" w:rsidR="006A1CE7" w:rsidRPr="006A1CE7" w:rsidRDefault="006A1CE7" w:rsidP="006A1CE7">
            <w:pPr>
              <w:rPr>
                <w:rFonts w:ascii="Calibri" w:hAnsi="Calibri"/>
                <w:sz w:val="24"/>
                <w:szCs w:val="24"/>
                <w:lang w:eastAsia="en-GB"/>
              </w:rPr>
            </w:pPr>
            <w:r w:rsidRPr="006A1CE7">
              <w:rPr>
                <w:rFonts w:ascii="Calibri" w:hAnsi="Calibri"/>
                <w:sz w:val="24"/>
                <w:szCs w:val="24"/>
                <w:lang w:eastAsia="en-GB"/>
              </w:rPr>
              <w:t>Actual cost after discount+</w:t>
            </w:r>
          </w:p>
        </w:tc>
        <w:tc>
          <w:tcPr>
            <w:tcW w:w="0" w:type="auto"/>
          </w:tcPr>
          <w:p w14:paraId="36860B02" w14:textId="77777777" w:rsidR="006A1CE7" w:rsidRPr="006A1CE7" w:rsidRDefault="006A1CE7" w:rsidP="006A1CE7">
            <w:pPr>
              <w:jc w:val="center"/>
              <w:rPr>
                <w:sz w:val="24"/>
              </w:rPr>
            </w:pPr>
            <w:r w:rsidRPr="006A1CE7">
              <w:rPr>
                <w:sz w:val="24"/>
              </w:rPr>
              <w:t>£5.84</w:t>
            </w:r>
          </w:p>
        </w:tc>
      </w:tr>
      <w:tr w:rsidR="006A1CE7" w:rsidRPr="006A1CE7" w14:paraId="32404F66" w14:textId="77777777" w:rsidTr="00BA0305">
        <w:tc>
          <w:tcPr>
            <w:tcW w:w="5208" w:type="dxa"/>
            <w:tcBorders>
              <w:top w:val="single" w:sz="4" w:space="0" w:color="auto"/>
              <w:left w:val="single" w:sz="4" w:space="0" w:color="auto"/>
              <w:bottom w:val="single" w:sz="4" w:space="0" w:color="auto"/>
              <w:right w:val="single" w:sz="4" w:space="0" w:color="auto"/>
            </w:tcBorders>
            <w:hideMark/>
          </w:tcPr>
          <w:p w14:paraId="7332DB0C" w14:textId="77777777" w:rsidR="006A1CE7" w:rsidRPr="006A1CE7" w:rsidRDefault="006A1CE7" w:rsidP="006A1CE7">
            <w:pPr>
              <w:rPr>
                <w:rFonts w:ascii="Calibri" w:hAnsi="Calibri"/>
                <w:sz w:val="24"/>
                <w:szCs w:val="24"/>
                <w:lang w:eastAsia="en-GB"/>
              </w:rPr>
            </w:pPr>
            <w:r w:rsidRPr="006A1CE7">
              <w:rPr>
                <w:rFonts w:ascii="Calibri" w:hAnsi="Calibri"/>
                <w:sz w:val="24"/>
                <w:szCs w:val="24"/>
                <w:lang w:eastAsia="en-GB"/>
              </w:rPr>
              <w:t>VAT (20%)</w:t>
            </w:r>
          </w:p>
        </w:tc>
        <w:tc>
          <w:tcPr>
            <w:tcW w:w="0" w:type="auto"/>
          </w:tcPr>
          <w:p w14:paraId="010A4ED4" w14:textId="77777777" w:rsidR="006A1CE7" w:rsidRPr="006A1CE7" w:rsidRDefault="006A1CE7" w:rsidP="006A1CE7">
            <w:pPr>
              <w:jc w:val="center"/>
              <w:rPr>
                <w:sz w:val="24"/>
              </w:rPr>
            </w:pPr>
            <w:r w:rsidRPr="006A1CE7">
              <w:rPr>
                <w:sz w:val="24"/>
              </w:rPr>
              <w:t>£1.17</w:t>
            </w:r>
          </w:p>
        </w:tc>
      </w:tr>
      <w:tr w:rsidR="006A1CE7" w:rsidRPr="006A1CE7" w14:paraId="4C085047" w14:textId="77777777" w:rsidTr="00BA0305">
        <w:tc>
          <w:tcPr>
            <w:tcW w:w="5208" w:type="dxa"/>
            <w:tcBorders>
              <w:top w:val="single" w:sz="4" w:space="0" w:color="auto"/>
              <w:left w:val="single" w:sz="4" w:space="0" w:color="auto"/>
              <w:bottom w:val="single" w:sz="4" w:space="0" w:color="auto"/>
              <w:right w:val="single" w:sz="4" w:space="0" w:color="auto"/>
            </w:tcBorders>
            <w:hideMark/>
          </w:tcPr>
          <w:p w14:paraId="6832B854" w14:textId="77777777" w:rsidR="006A1CE7" w:rsidRPr="006A1CE7" w:rsidRDefault="006A1CE7" w:rsidP="006A1CE7">
            <w:pPr>
              <w:rPr>
                <w:rFonts w:ascii="Calibri" w:hAnsi="Calibri"/>
                <w:sz w:val="24"/>
                <w:szCs w:val="24"/>
                <w:lang w:eastAsia="en-GB"/>
              </w:rPr>
            </w:pPr>
            <w:r w:rsidRPr="006A1CE7">
              <w:rPr>
                <w:rFonts w:ascii="Calibri" w:hAnsi="Calibri"/>
                <w:sz w:val="24"/>
                <w:szCs w:val="24"/>
                <w:lang w:eastAsia="en-GB"/>
              </w:rPr>
              <w:t>Total cost to practice</w:t>
            </w:r>
          </w:p>
        </w:tc>
        <w:tc>
          <w:tcPr>
            <w:tcW w:w="0" w:type="auto"/>
          </w:tcPr>
          <w:p w14:paraId="7CD658DF" w14:textId="77777777" w:rsidR="006A1CE7" w:rsidRPr="006A1CE7" w:rsidRDefault="006A1CE7" w:rsidP="006A1CE7">
            <w:pPr>
              <w:jc w:val="center"/>
              <w:rPr>
                <w:sz w:val="24"/>
              </w:rPr>
            </w:pPr>
            <w:r w:rsidRPr="006A1CE7">
              <w:rPr>
                <w:sz w:val="24"/>
              </w:rPr>
              <w:t>£7.01</w:t>
            </w:r>
          </w:p>
        </w:tc>
      </w:tr>
      <w:tr w:rsidR="006A1CE7" w:rsidRPr="006A1CE7" w14:paraId="720049AE" w14:textId="77777777" w:rsidTr="006A1CE7">
        <w:tc>
          <w:tcPr>
            <w:tcW w:w="5208" w:type="dxa"/>
            <w:tcBorders>
              <w:top w:val="single" w:sz="4" w:space="0" w:color="auto"/>
              <w:left w:val="single" w:sz="4" w:space="0" w:color="auto"/>
              <w:bottom w:val="single" w:sz="4" w:space="0" w:color="auto"/>
              <w:right w:val="single" w:sz="4" w:space="0" w:color="auto"/>
            </w:tcBorders>
            <w:hideMark/>
          </w:tcPr>
          <w:p w14:paraId="75FC9D24" w14:textId="77777777" w:rsidR="006A1CE7" w:rsidRPr="006A1CE7" w:rsidRDefault="006A1CE7" w:rsidP="006A1CE7">
            <w:pPr>
              <w:rPr>
                <w:rFonts w:ascii="Calibri" w:hAnsi="Calibri"/>
                <w:sz w:val="28"/>
                <w:lang w:eastAsia="en-GB"/>
              </w:rPr>
            </w:pPr>
            <w:r w:rsidRPr="006A1CE7">
              <w:rPr>
                <w:rFonts w:ascii="Calibri" w:hAnsi="Calibri"/>
                <w:b/>
                <w:sz w:val="28"/>
                <w:lang w:eastAsia="en-GB"/>
              </w:rPr>
              <w:t>Total Profit Per Dose (PPD)</w:t>
            </w:r>
          </w:p>
        </w:tc>
        <w:tc>
          <w:tcPr>
            <w:tcW w:w="0" w:type="auto"/>
            <w:hideMark/>
          </w:tcPr>
          <w:p w14:paraId="772556C0" w14:textId="77777777" w:rsidR="006A1CE7" w:rsidRPr="006A1CE7" w:rsidRDefault="006A1CE7" w:rsidP="006A1CE7">
            <w:pPr>
              <w:jc w:val="center"/>
              <w:rPr>
                <w:b/>
              </w:rPr>
            </w:pPr>
            <w:r w:rsidRPr="006A1CE7">
              <w:rPr>
                <w:b/>
                <w:sz w:val="28"/>
              </w:rPr>
              <w:t>£6.95</w:t>
            </w:r>
          </w:p>
        </w:tc>
      </w:tr>
    </w:tbl>
    <w:p w14:paraId="10178D2D" w14:textId="77777777" w:rsidR="006A1CE7" w:rsidRPr="006A1CE7" w:rsidRDefault="006A1CE7" w:rsidP="006A1CE7">
      <w:pPr>
        <w:contextualSpacing/>
        <w:rPr>
          <w:rFonts w:cstheme="minorHAnsi"/>
        </w:rPr>
      </w:pPr>
    </w:p>
    <w:p w14:paraId="728FBFA7" w14:textId="47C80874" w:rsidR="006A1CE7" w:rsidRPr="006A1CE7" w:rsidRDefault="006A1CE7" w:rsidP="006A1CE7">
      <w:pPr>
        <w:autoSpaceDE w:val="0"/>
        <w:autoSpaceDN w:val="0"/>
        <w:adjustRightInd w:val="0"/>
        <w:spacing w:after="0" w:line="240" w:lineRule="auto"/>
        <w:rPr>
          <w:rFonts w:ascii="Calibri" w:hAnsi="Calibri" w:cs="Calibri"/>
          <w:color w:val="000000"/>
          <w:sz w:val="24"/>
          <w:szCs w:val="24"/>
        </w:rPr>
      </w:pPr>
      <w:r w:rsidRPr="006A1CE7">
        <w:rPr>
          <w:rFonts w:eastAsia="Times New Roman" w:cs="Times New Roman"/>
          <w:sz w:val="20"/>
        </w:rPr>
        <w:t>* The dispensing fee illustrated is for guidance purposes only and is based on a non-dispensing practice dispensing up to 457 items a month under rules applying from 1 October 2017</w:t>
      </w:r>
      <w:r>
        <w:rPr>
          <w:rFonts w:eastAsia="Times New Roman" w:cs="Times New Roman"/>
          <w:sz w:val="20"/>
        </w:rPr>
        <w:t>.</w:t>
      </w:r>
    </w:p>
    <w:p w14:paraId="0FB84E60" w14:textId="77777777" w:rsidR="006A1CE7" w:rsidRPr="006A1CE7" w:rsidRDefault="006A1CE7" w:rsidP="006A1CE7">
      <w:pPr>
        <w:contextualSpacing/>
        <w:rPr>
          <w:rFonts w:cstheme="minorHAnsi"/>
          <w:sz w:val="20"/>
        </w:rPr>
      </w:pPr>
      <w:r w:rsidRPr="006A1CE7">
        <w:rPr>
          <w:rFonts w:cstheme="minorHAnsi"/>
        </w:rPr>
        <w:t xml:space="preserve">+ </w:t>
      </w:r>
      <w:r w:rsidRPr="006A1CE7">
        <w:rPr>
          <w:rFonts w:cstheme="minorHAnsi"/>
          <w:sz w:val="20"/>
        </w:rPr>
        <w:t>Discount based on order of less than 1000 doses. Additional discounts are available to those practices wanting to order more than 1000 doses.</w:t>
      </w:r>
    </w:p>
    <w:p w14:paraId="43CA6A25" w14:textId="77777777" w:rsidR="006A1CE7" w:rsidRPr="006A1CE7" w:rsidRDefault="006A1CE7" w:rsidP="006A1CE7">
      <w:pPr>
        <w:spacing w:after="0" w:line="240" w:lineRule="auto"/>
        <w:rPr>
          <w:b/>
          <w:sz w:val="24"/>
          <w:szCs w:val="24"/>
        </w:rPr>
      </w:pPr>
    </w:p>
    <w:p w14:paraId="4756DEBD" w14:textId="77777777" w:rsidR="006A1CE7" w:rsidRPr="006A1CE7" w:rsidRDefault="006A1CE7" w:rsidP="006A1CE7">
      <w:pPr>
        <w:spacing w:after="0" w:line="240" w:lineRule="auto"/>
        <w:rPr>
          <w:b/>
          <w:sz w:val="24"/>
          <w:szCs w:val="24"/>
        </w:rPr>
      </w:pPr>
      <w:r w:rsidRPr="006A1CE7">
        <w:rPr>
          <w:b/>
          <w:sz w:val="24"/>
          <w:szCs w:val="24"/>
        </w:rPr>
        <w:t>Contact Seqirus</w:t>
      </w:r>
    </w:p>
    <w:p w14:paraId="6AABD592" w14:textId="77777777" w:rsidR="006A1CE7" w:rsidRPr="006A1CE7" w:rsidRDefault="006A1CE7" w:rsidP="006A1CE7">
      <w:pPr>
        <w:spacing w:after="0" w:line="240" w:lineRule="auto"/>
        <w:rPr>
          <w:sz w:val="24"/>
          <w:szCs w:val="24"/>
        </w:rPr>
      </w:pPr>
    </w:p>
    <w:p w14:paraId="5D2D24DE" w14:textId="77777777" w:rsidR="006A1CE7" w:rsidRPr="006A1CE7" w:rsidRDefault="006A1CE7" w:rsidP="006A1CE7">
      <w:pPr>
        <w:spacing w:after="0" w:line="240" w:lineRule="auto"/>
        <w:rPr>
          <w:sz w:val="24"/>
          <w:szCs w:val="24"/>
        </w:rPr>
      </w:pPr>
      <w:r w:rsidRPr="006A1CE7">
        <w:rPr>
          <w:sz w:val="24"/>
          <w:szCs w:val="24"/>
        </w:rPr>
        <w:t xml:space="preserve">Tel: 01530 454288; Email: </w:t>
      </w:r>
      <w:hyperlink r:id="rId11" w:history="1">
        <w:r w:rsidRPr="006A1CE7">
          <w:rPr>
            <w:color w:val="0563C1" w:themeColor="hyperlink"/>
            <w:sz w:val="24"/>
            <w:szCs w:val="24"/>
            <w:u w:val="single"/>
          </w:rPr>
          <w:t>flu.salesuk@seqirus.com</w:t>
        </w:r>
      </w:hyperlink>
      <w:r w:rsidRPr="006A1CE7">
        <w:rPr>
          <w:sz w:val="24"/>
          <w:szCs w:val="24"/>
        </w:rPr>
        <w:t xml:space="preserve"> </w:t>
      </w:r>
    </w:p>
    <w:p w14:paraId="07733B41" w14:textId="77777777" w:rsidR="006A1CE7" w:rsidRDefault="006A1CE7" w:rsidP="00B778D3">
      <w:pPr>
        <w:pStyle w:val="NoSpacing"/>
        <w:rPr>
          <w:sz w:val="24"/>
        </w:rPr>
      </w:pPr>
    </w:p>
    <w:p w14:paraId="3F96C0CD" w14:textId="3774C03C" w:rsidR="00CD60C3" w:rsidRPr="00E40CBA" w:rsidRDefault="00553502" w:rsidP="00AB419D">
      <w:pPr>
        <w:pStyle w:val="NoSpacing"/>
        <w:rPr>
          <w:b/>
          <w:sz w:val="28"/>
        </w:rPr>
      </w:pPr>
      <w:r w:rsidRPr="00E40CBA">
        <w:rPr>
          <w:b/>
          <w:sz w:val="28"/>
        </w:rPr>
        <w:t>Pfizer</w:t>
      </w:r>
    </w:p>
    <w:p w14:paraId="14FF7D57" w14:textId="28782748" w:rsidR="00553502" w:rsidRDefault="00553502" w:rsidP="00AB419D">
      <w:pPr>
        <w:pStyle w:val="NoSpacing"/>
        <w:rPr>
          <w:sz w:val="24"/>
        </w:rPr>
      </w:pPr>
    </w:p>
    <w:p w14:paraId="2487C33C" w14:textId="020CE245" w:rsidR="00553502" w:rsidRDefault="00553502" w:rsidP="00AB419D">
      <w:pPr>
        <w:pStyle w:val="NoSpacing"/>
        <w:rPr>
          <w:sz w:val="24"/>
        </w:rPr>
      </w:pPr>
      <w:r>
        <w:rPr>
          <w:sz w:val="24"/>
        </w:rPr>
        <w:t xml:space="preserve">Pfizer produce two trivalent vaccines for the UK market and we know many of our members have ordered with Pfizer </w:t>
      </w:r>
      <w:r w:rsidR="00934473">
        <w:rPr>
          <w:sz w:val="24"/>
        </w:rPr>
        <w:t>and will now have to cancel their orders and move them to Seqirus for the adjuvanted trivalent and to MASTA or Mylan for quadrivalents</w:t>
      </w:r>
      <w:r w:rsidR="004E7CC7">
        <w:rPr>
          <w:sz w:val="24"/>
        </w:rPr>
        <w:t xml:space="preserve"> for </w:t>
      </w:r>
      <w:r w:rsidR="00BC5055">
        <w:rPr>
          <w:sz w:val="24"/>
        </w:rPr>
        <w:t>most of</w:t>
      </w:r>
      <w:r w:rsidR="004E7CC7">
        <w:rPr>
          <w:sz w:val="24"/>
        </w:rPr>
        <w:t xml:space="preserve"> their patients</w:t>
      </w:r>
      <w:r w:rsidR="00934473">
        <w:rPr>
          <w:sz w:val="24"/>
        </w:rPr>
        <w:t>.</w:t>
      </w:r>
    </w:p>
    <w:p w14:paraId="7F02B0F3" w14:textId="254B529D" w:rsidR="00934473" w:rsidRDefault="00934473" w:rsidP="00AB419D">
      <w:pPr>
        <w:pStyle w:val="NoSpacing"/>
        <w:rPr>
          <w:sz w:val="24"/>
        </w:rPr>
      </w:pPr>
    </w:p>
    <w:p w14:paraId="37D4AE04" w14:textId="66675D40" w:rsidR="00934473" w:rsidRDefault="00BC5055" w:rsidP="00BC5055">
      <w:pPr>
        <w:pStyle w:val="NoSpacing"/>
        <w:rPr>
          <w:sz w:val="24"/>
        </w:rPr>
      </w:pPr>
      <w:r w:rsidRPr="00BC5055">
        <w:rPr>
          <w:sz w:val="24"/>
        </w:rPr>
        <w:t xml:space="preserve">Pfizer </w:t>
      </w:r>
      <w:r>
        <w:rPr>
          <w:sz w:val="24"/>
        </w:rPr>
        <w:t xml:space="preserve">has confirmed that they </w:t>
      </w:r>
      <w:r w:rsidRPr="00BC5055">
        <w:rPr>
          <w:sz w:val="24"/>
        </w:rPr>
        <w:t xml:space="preserve">will honour any changes and cancellations to the orders already placed with </w:t>
      </w:r>
      <w:r>
        <w:rPr>
          <w:sz w:val="24"/>
        </w:rPr>
        <w:t>them by our members and that Pfizer</w:t>
      </w:r>
      <w:r w:rsidRPr="00BC5055">
        <w:rPr>
          <w:sz w:val="24"/>
        </w:rPr>
        <w:t xml:space="preserve"> customers will not be charged for cancelling their orders.</w:t>
      </w:r>
    </w:p>
    <w:p w14:paraId="2671573D" w14:textId="03B034EE" w:rsidR="00BC5055" w:rsidRDefault="00BC5055" w:rsidP="00BC5055">
      <w:pPr>
        <w:pStyle w:val="NoSpacing"/>
        <w:rPr>
          <w:sz w:val="24"/>
        </w:rPr>
      </w:pPr>
    </w:p>
    <w:p w14:paraId="19EB3F18" w14:textId="02072A5E" w:rsidR="00BC5055" w:rsidRDefault="00BC5055" w:rsidP="00BC5055">
      <w:pPr>
        <w:pStyle w:val="NoSpacing"/>
        <w:rPr>
          <w:sz w:val="24"/>
        </w:rPr>
      </w:pPr>
      <w:r>
        <w:rPr>
          <w:sz w:val="24"/>
        </w:rPr>
        <w:t>Please contact Pfizer as soon as possible to cancel any existing orders for their trivalent vaccines.</w:t>
      </w:r>
    </w:p>
    <w:p w14:paraId="77C60B66" w14:textId="77777777" w:rsidR="00BC5055" w:rsidRDefault="00BC5055" w:rsidP="00BC5055">
      <w:pPr>
        <w:pStyle w:val="NoSpacing"/>
        <w:rPr>
          <w:sz w:val="24"/>
        </w:rPr>
      </w:pPr>
    </w:p>
    <w:p w14:paraId="1B542A5A" w14:textId="4DD39038" w:rsidR="00934473" w:rsidRPr="005A254C" w:rsidRDefault="005A254C" w:rsidP="00AB419D">
      <w:pPr>
        <w:pStyle w:val="NoSpacing"/>
        <w:rPr>
          <w:b/>
          <w:sz w:val="24"/>
        </w:rPr>
      </w:pPr>
      <w:r w:rsidRPr="005A254C">
        <w:rPr>
          <w:b/>
          <w:sz w:val="24"/>
        </w:rPr>
        <w:t>Contact Pfizer</w:t>
      </w:r>
    </w:p>
    <w:p w14:paraId="48509381" w14:textId="77777777" w:rsidR="005A254C" w:rsidRDefault="005A254C" w:rsidP="00AB419D">
      <w:pPr>
        <w:pStyle w:val="NoSpacing"/>
        <w:rPr>
          <w:sz w:val="24"/>
        </w:rPr>
      </w:pPr>
    </w:p>
    <w:p w14:paraId="724197C0" w14:textId="3BCD1112" w:rsidR="00934473" w:rsidRDefault="005A254C" w:rsidP="00AB419D">
      <w:pPr>
        <w:pStyle w:val="NoSpacing"/>
        <w:rPr>
          <w:sz w:val="24"/>
        </w:rPr>
      </w:pPr>
      <w:r w:rsidRPr="005A254C">
        <w:rPr>
          <w:sz w:val="24"/>
        </w:rPr>
        <w:t xml:space="preserve">Tel: 0800 089 4033; Email: </w:t>
      </w:r>
      <w:hyperlink r:id="rId12" w:history="1">
        <w:r w:rsidRPr="00506CF7">
          <w:rPr>
            <w:rStyle w:val="Hyperlink"/>
            <w:sz w:val="24"/>
          </w:rPr>
          <w:t>vaccinesuk@pfizer.com</w:t>
        </w:r>
      </w:hyperlink>
    </w:p>
    <w:p w14:paraId="6DD48720" w14:textId="67F10E3F" w:rsidR="005A254C" w:rsidRDefault="005A254C" w:rsidP="00AB419D">
      <w:pPr>
        <w:pStyle w:val="NoSpacing"/>
        <w:rPr>
          <w:sz w:val="24"/>
        </w:rPr>
      </w:pPr>
    </w:p>
    <w:p w14:paraId="25BC6646" w14:textId="47AC5EAD" w:rsidR="00BC5055" w:rsidRDefault="00BC5055" w:rsidP="00AB419D">
      <w:pPr>
        <w:pStyle w:val="NoSpacing"/>
        <w:rPr>
          <w:sz w:val="24"/>
        </w:rPr>
      </w:pPr>
    </w:p>
    <w:p w14:paraId="3AB8E51F" w14:textId="623A9AAB" w:rsidR="00BC5055" w:rsidRDefault="00BC5055" w:rsidP="00AB419D">
      <w:pPr>
        <w:pStyle w:val="NoSpacing"/>
        <w:rPr>
          <w:sz w:val="24"/>
        </w:rPr>
      </w:pPr>
    </w:p>
    <w:p w14:paraId="7D4C8C1A" w14:textId="77777777" w:rsidR="00BC5055" w:rsidRDefault="00BC5055" w:rsidP="00AB419D">
      <w:pPr>
        <w:pStyle w:val="NoSpacing"/>
        <w:rPr>
          <w:sz w:val="24"/>
        </w:rPr>
      </w:pPr>
    </w:p>
    <w:p w14:paraId="46291A84" w14:textId="55BC9BF2" w:rsidR="00934473" w:rsidRPr="005A254C" w:rsidRDefault="00934473" w:rsidP="00AB419D">
      <w:pPr>
        <w:pStyle w:val="NoSpacing"/>
        <w:rPr>
          <w:b/>
          <w:sz w:val="28"/>
        </w:rPr>
      </w:pPr>
      <w:r w:rsidRPr="005A254C">
        <w:rPr>
          <w:b/>
          <w:sz w:val="28"/>
        </w:rPr>
        <w:lastRenderedPageBreak/>
        <w:t>MASTA</w:t>
      </w:r>
    </w:p>
    <w:p w14:paraId="3FB77452" w14:textId="7BF64CB8" w:rsidR="00934473" w:rsidRDefault="00934473" w:rsidP="00AB419D">
      <w:pPr>
        <w:pStyle w:val="NoSpacing"/>
        <w:rPr>
          <w:sz w:val="24"/>
        </w:rPr>
      </w:pPr>
    </w:p>
    <w:p w14:paraId="32EA345E" w14:textId="6E6C079A" w:rsidR="00934473" w:rsidRDefault="00934473" w:rsidP="00AB419D">
      <w:pPr>
        <w:pStyle w:val="NoSpacing"/>
        <w:rPr>
          <w:sz w:val="24"/>
        </w:rPr>
      </w:pPr>
      <w:r>
        <w:rPr>
          <w:sz w:val="24"/>
        </w:rPr>
        <w:t>MASTA have access to both trivalent and quadrivalent vaccines</w:t>
      </w:r>
      <w:r w:rsidR="00B778D3">
        <w:rPr>
          <w:sz w:val="24"/>
        </w:rPr>
        <w:t>,</w:t>
      </w:r>
      <w:r>
        <w:rPr>
          <w:sz w:val="24"/>
        </w:rPr>
        <w:t xml:space="preserve"> so any existing customers can</w:t>
      </w:r>
      <w:r w:rsidR="005E7848">
        <w:rPr>
          <w:sz w:val="24"/>
        </w:rPr>
        <w:t xml:space="preserve"> simply</w:t>
      </w:r>
      <w:r>
        <w:rPr>
          <w:sz w:val="24"/>
        </w:rPr>
        <w:t xml:space="preserve"> </w:t>
      </w:r>
      <w:r w:rsidR="005E7848">
        <w:rPr>
          <w:sz w:val="24"/>
        </w:rPr>
        <w:t xml:space="preserve">switch formulations for the </w:t>
      </w:r>
      <w:r w:rsidR="004E7CC7">
        <w:rPr>
          <w:sz w:val="24"/>
        </w:rPr>
        <w:t>18-</w:t>
      </w:r>
      <w:r w:rsidR="005E7848">
        <w:rPr>
          <w:sz w:val="24"/>
        </w:rPr>
        <w:t>65s.</w:t>
      </w:r>
    </w:p>
    <w:p w14:paraId="5E2ADC56" w14:textId="2D53BA04" w:rsidR="00B778D3" w:rsidRDefault="00B778D3" w:rsidP="00AB419D">
      <w:pPr>
        <w:pStyle w:val="NoSpacing"/>
        <w:rPr>
          <w:sz w:val="24"/>
        </w:rPr>
      </w:pPr>
    </w:p>
    <w:p w14:paraId="39C401E3" w14:textId="77777777" w:rsidR="00235854" w:rsidRDefault="00235854" w:rsidP="00BA0305">
      <w:pPr>
        <w:pStyle w:val="NoSpacing"/>
        <w:rPr>
          <w:sz w:val="24"/>
        </w:rPr>
      </w:pPr>
      <w:r>
        <w:rPr>
          <w:sz w:val="24"/>
        </w:rPr>
        <w:t>If you need to move part of your order from MASTA to Seqirus then please contact their flu team as soon as possible to discuss your requirements.</w:t>
      </w:r>
    </w:p>
    <w:p w14:paraId="42CA1908" w14:textId="11A0C9BF" w:rsidR="005E7848" w:rsidRDefault="005E7848" w:rsidP="00235854">
      <w:pPr>
        <w:pStyle w:val="NoSpacing"/>
        <w:rPr>
          <w:sz w:val="24"/>
        </w:rPr>
      </w:pPr>
    </w:p>
    <w:tbl>
      <w:tblPr>
        <w:tblStyle w:val="TableGrid"/>
        <w:tblW w:w="0" w:type="auto"/>
        <w:tblLook w:val="04A0" w:firstRow="1" w:lastRow="0" w:firstColumn="1" w:lastColumn="0" w:noHBand="0" w:noVBand="1"/>
      </w:tblPr>
      <w:tblGrid>
        <w:gridCol w:w="3335"/>
        <w:gridCol w:w="2147"/>
      </w:tblGrid>
      <w:tr w:rsidR="005A254C" w:rsidRPr="005A254C" w14:paraId="7EB2A22A" w14:textId="77777777" w:rsidTr="00BA0305">
        <w:tc>
          <w:tcPr>
            <w:tcW w:w="0" w:type="auto"/>
          </w:tcPr>
          <w:p w14:paraId="530E9B24" w14:textId="77777777" w:rsidR="005A254C" w:rsidRPr="005A254C" w:rsidRDefault="005A254C" w:rsidP="005A254C">
            <w:pPr>
              <w:rPr>
                <w:rFonts w:ascii="Calibri" w:hAnsi="Calibri"/>
                <w:sz w:val="24"/>
                <w:szCs w:val="24"/>
              </w:rPr>
            </w:pPr>
          </w:p>
        </w:tc>
        <w:tc>
          <w:tcPr>
            <w:tcW w:w="0" w:type="auto"/>
          </w:tcPr>
          <w:p w14:paraId="4ADF970D" w14:textId="77777777" w:rsidR="005A254C" w:rsidRPr="005A254C" w:rsidRDefault="005A254C" w:rsidP="005A254C">
            <w:pPr>
              <w:jc w:val="center"/>
              <w:rPr>
                <w:rFonts w:ascii="Calibri" w:hAnsi="Calibri"/>
                <w:b/>
                <w:sz w:val="24"/>
                <w:szCs w:val="24"/>
              </w:rPr>
            </w:pPr>
            <w:r w:rsidRPr="005A254C">
              <w:rPr>
                <w:rFonts w:ascii="Calibri" w:hAnsi="Calibri"/>
                <w:b/>
                <w:sz w:val="24"/>
                <w:szCs w:val="24"/>
              </w:rPr>
              <w:t>Quadrivalent (50%)</w:t>
            </w:r>
          </w:p>
        </w:tc>
      </w:tr>
      <w:tr w:rsidR="005A254C" w:rsidRPr="005A254C" w14:paraId="2AEA4C7A" w14:textId="77777777" w:rsidTr="00BA0305">
        <w:tc>
          <w:tcPr>
            <w:tcW w:w="0" w:type="auto"/>
          </w:tcPr>
          <w:p w14:paraId="26041A4C" w14:textId="77777777" w:rsidR="005A254C" w:rsidRPr="005A254C" w:rsidRDefault="005A254C" w:rsidP="005A254C">
            <w:pPr>
              <w:rPr>
                <w:rFonts w:ascii="Calibri" w:hAnsi="Calibri"/>
                <w:sz w:val="24"/>
                <w:szCs w:val="24"/>
              </w:rPr>
            </w:pPr>
            <w:r w:rsidRPr="005A254C">
              <w:rPr>
                <w:rFonts w:ascii="Calibri" w:hAnsi="Calibri"/>
                <w:sz w:val="24"/>
                <w:szCs w:val="24"/>
              </w:rPr>
              <w:t>NHS Price</w:t>
            </w:r>
          </w:p>
        </w:tc>
        <w:tc>
          <w:tcPr>
            <w:tcW w:w="0" w:type="auto"/>
          </w:tcPr>
          <w:p w14:paraId="50D2328E" w14:textId="77777777" w:rsidR="005A254C" w:rsidRPr="005A254C" w:rsidRDefault="005A254C" w:rsidP="005A254C">
            <w:pPr>
              <w:jc w:val="center"/>
              <w:rPr>
                <w:rFonts w:ascii="Calibri" w:hAnsi="Calibri"/>
                <w:sz w:val="24"/>
                <w:szCs w:val="24"/>
              </w:rPr>
            </w:pPr>
            <w:r w:rsidRPr="005A254C">
              <w:rPr>
                <w:rFonts w:ascii="Calibri" w:hAnsi="Calibri"/>
                <w:sz w:val="24"/>
                <w:szCs w:val="24"/>
              </w:rPr>
              <w:t>£8.00</w:t>
            </w:r>
          </w:p>
        </w:tc>
      </w:tr>
      <w:tr w:rsidR="005A254C" w:rsidRPr="005A254C" w14:paraId="26E364CD" w14:textId="77777777" w:rsidTr="00BA0305">
        <w:tc>
          <w:tcPr>
            <w:tcW w:w="0" w:type="auto"/>
          </w:tcPr>
          <w:p w14:paraId="7984A475" w14:textId="77777777" w:rsidR="005A254C" w:rsidRPr="005A254C" w:rsidRDefault="005A254C" w:rsidP="005A254C">
            <w:pPr>
              <w:rPr>
                <w:rFonts w:ascii="Calibri" w:hAnsi="Calibri"/>
                <w:sz w:val="24"/>
                <w:szCs w:val="24"/>
              </w:rPr>
            </w:pPr>
            <w:r w:rsidRPr="005A254C">
              <w:rPr>
                <w:rFonts w:ascii="Calibri" w:hAnsi="Calibri"/>
                <w:sz w:val="24"/>
                <w:szCs w:val="24"/>
              </w:rPr>
              <w:t>Dispensing fee*</w:t>
            </w:r>
          </w:p>
        </w:tc>
        <w:tc>
          <w:tcPr>
            <w:tcW w:w="0" w:type="auto"/>
          </w:tcPr>
          <w:p w14:paraId="2CB13FA5" w14:textId="77777777" w:rsidR="005A254C" w:rsidRPr="005A254C" w:rsidRDefault="005A254C" w:rsidP="005A254C">
            <w:pPr>
              <w:jc w:val="center"/>
              <w:rPr>
                <w:rFonts w:ascii="Calibri" w:hAnsi="Calibri"/>
                <w:sz w:val="24"/>
                <w:szCs w:val="24"/>
              </w:rPr>
            </w:pPr>
            <w:r w:rsidRPr="005A254C">
              <w:rPr>
                <w:rFonts w:ascii="Calibri" w:hAnsi="Calibri"/>
                <w:sz w:val="24"/>
                <w:szCs w:val="24"/>
              </w:rPr>
              <w:t>£2.209</w:t>
            </w:r>
          </w:p>
        </w:tc>
      </w:tr>
      <w:tr w:rsidR="005A254C" w:rsidRPr="005A254C" w14:paraId="2B0BB75E" w14:textId="77777777" w:rsidTr="00BA0305">
        <w:tc>
          <w:tcPr>
            <w:tcW w:w="0" w:type="auto"/>
          </w:tcPr>
          <w:p w14:paraId="7C9EC75D" w14:textId="77777777" w:rsidR="005A254C" w:rsidRPr="005A254C" w:rsidRDefault="005A254C" w:rsidP="005A254C">
            <w:pPr>
              <w:rPr>
                <w:rFonts w:ascii="Calibri" w:hAnsi="Calibri"/>
                <w:sz w:val="24"/>
                <w:szCs w:val="24"/>
              </w:rPr>
            </w:pPr>
            <w:r w:rsidRPr="005A254C">
              <w:rPr>
                <w:rFonts w:ascii="Calibri" w:hAnsi="Calibri"/>
                <w:sz w:val="24"/>
                <w:szCs w:val="24"/>
              </w:rPr>
              <w:t>VAT (20%)</w:t>
            </w:r>
          </w:p>
        </w:tc>
        <w:tc>
          <w:tcPr>
            <w:tcW w:w="0" w:type="auto"/>
          </w:tcPr>
          <w:p w14:paraId="7CB79CEA" w14:textId="77777777" w:rsidR="005A254C" w:rsidRPr="005A254C" w:rsidRDefault="005A254C" w:rsidP="005A254C">
            <w:pPr>
              <w:jc w:val="center"/>
              <w:rPr>
                <w:rFonts w:ascii="Calibri" w:hAnsi="Calibri"/>
                <w:sz w:val="24"/>
                <w:szCs w:val="24"/>
              </w:rPr>
            </w:pPr>
            <w:r w:rsidRPr="005A254C">
              <w:rPr>
                <w:rFonts w:ascii="Calibri" w:hAnsi="Calibri"/>
                <w:sz w:val="24"/>
                <w:szCs w:val="24"/>
              </w:rPr>
              <w:t>£1.60</w:t>
            </w:r>
          </w:p>
        </w:tc>
      </w:tr>
      <w:tr w:rsidR="005A254C" w:rsidRPr="005A254C" w14:paraId="4E153347" w14:textId="77777777" w:rsidTr="00BA0305">
        <w:tc>
          <w:tcPr>
            <w:tcW w:w="0" w:type="auto"/>
          </w:tcPr>
          <w:p w14:paraId="7B865C73" w14:textId="77777777" w:rsidR="005A254C" w:rsidRPr="005A254C" w:rsidRDefault="005A254C" w:rsidP="005A254C">
            <w:pPr>
              <w:rPr>
                <w:rFonts w:ascii="Calibri" w:hAnsi="Calibri"/>
                <w:sz w:val="28"/>
                <w:szCs w:val="24"/>
              </w:rPr>
            </w:pPr>
            <w:r w:rsidRPr="005A254C">
              <w:rPr>
                <w:rFonts w:ascii="Calibri" w:hAnsi="Calibri"/>
                <w:b/>
                <w:sz w:val="28"/>
                <w:szCs w:val="24"/>
              </w:rPr>
              <w:t>Total NHS Reimbursement</w:t>
            </w:r>
          </w:p>
        </w:tc>
        <w:tc>
          <w:tcPr>
            <w:tcW w:w="0" w:type="auto"/>
          </w:tcPr>
          <w:p w14:paraId="41C217BB" w14:textId="77777777" w:rsidR="005A254C" w:rsidRPr="005A254C" w:rsidRDefault="005A254C" w:rsidP="005A254C">
            <w:pPr>
              <w:jc w:val="center"/>
              <w:rPr>
                <w:rFonts w:ascii="Calibri" w:hAnsi="Calibri"/>
                <w:b/>
                <w:sz w:val="28"/>
                <w:szCs w:val="24"/>
              </w:rPr>
            </w:pPr>
            <w:r w:rsidRPr="005A254C">
              <w:rPr>
                <w:rFonts w:ascii="Calibri" w:hAnsi="Calibri"/>
                <w:b/>
                <w:sz w:val="28"/>
                <w:szCs w:val="24"/>
              </w:rPr>
              <w:t>£11.81</w:t>
            </w:r>
          </w:p>
        </w:tc>
      </w:tr>
      <w:tr w:rsidR="005A254C" w:rsidRPr="005A254C" w14:paraId="1F3AD373" w14:textId="77777777" w:rsidTr="00BA0305">
        <w:tc>
          <w:tcPr>
            <w:tcW w:w="0" w:type="auto"/>
          </w:tcPr>
          <w:p w14:paraId="1E5D1C89" w14:textId="77777777" w:rsidR="005A254C" w:rsidRPr="005A254C" w:rsidRDefault="005A254C" w:rsidP="005A254C">
            <w:pPr>
              <w:rPr>
                <w:rFonts w:ascii="Calibri" w:hAnsi="Calibri"/>
                <w:sz w:val="24"/>
                <w:szCs w:val="24"/>
              </w:rPr>
            </w:pPr>
            <w:r w:rsidRPr="005A254C">
              <w:rPr>
                <w:rFonts w:ascii="Calibri" w:hAnsi="Calibri"/>
                <w:sz w:val="24"/>
                <w:szCs w:val="24"/>
              </w:rPr>
              <w:t>Actual cost after discount</w:t>
            </w:r>
          </w:p>
        </w:tc>
        <w:tc>
          <w:tcPr>
            <w:tcW w:w="0" w:type="auto"/>
          </w:tcPr>
          <w:p w14:paraId="61E4BD30" w14:textId="77777777" w:rsidR="005A254C" w:rsidRPr="005A254C" w:rsidRDefault="005A254C" w:rsidP="005A254C">
            <w:pPr>
              <w:jc w:val="center"/>
              <w:rPr>
                <w:rFonts w:ascii="Calibri" w:hAnsi="Calibri"/>
                <w:sz w:val="24"/>
                <w:szCs w:val="24"/>
              </w:rPr>
            </w:pPr>
            <w:r w:rsidRPr="005A254C">
              <w:rPr>
                <w:rFonts w:ascii="Calibri" w:hAnsi="Calibri"/>
                <w:sz w:val="24"/>
                <w:szCs w:val="24"/>
              </w:rPr>
              <w:t>£4.00</w:t>
            </w:r>
          </w:p>
        </w:tc>
      </w:tr>
      <w:tr w:rsidR="005A254C" w:rsidRPr="005A254C" w14:paraId="5788072A" w14:textId="77777777" w:rsidTr="00BA0305">
        <w:tc>
          <w:tcPr>
            <w:tcW w:w="0" w:type="auto"/>
          </w:tcPr>
          <w:p w14:paraId="2ECEA3AB" w14:textId="77777777" w:rsidR="005A254C" w:rsidRPr="005A254C" w:rsidRDefault="005A254C" w:rsidP="005A254C">
            <w:pPr>
              <w:rPr>
                <w:rFonts w:ascii="Calibri" w:hAnsi="Calibri"/>
                <w:sz w:val="24"/>
                <w:szCs w:val="24"/>
              </w:rPr>
            </w:pPr>
            <w:r w:rsidRPr="005A254C">
              <w:rPr>
                <w:rFonts w:ascii="Calibri" w:hAnsi="Calibri"/>
                <w:sz w:val="24"/>
                <w:szCs w:val="24"/>
              </w:rPr>
              <w:t>VAT (20%)</w:t>
            </w:r>
          </w:p>
        </w:tc>
        <w:tc>
          <w:tcPr>
            <w:tcW w:w="0" w:type="auto"/>
          </w:tcPr>
          <w:p w14:paraId="15B18D57" w14:textId="77777777" w:rsidR="005A254C" w:rsidRPr="005A254C" w:rsidRDefault="005A254C" w:rsidP="005A254C">
            <w:pPr>
              <w:jc w:val="center"/>
              <w:rPr>
                <w:rFonts w:ascii="Calibri" w:hAnsi="Calibri"/>
                <w:sz w:val="24"/>
                <w:szCs w:val="24"/>
              </w:rPr>
            </w:pPr>
            <w:r w:rsidRPr="005A254C">
              <w:rPr>
                <w:rFonts w:ascii="Calibri" w:hAnsi="Calibri"/>
                <w:sz w:val="24"/>
                <w:szCs w:val="24"/>
              </w:rPr>
              <w:t>£0.80</w:t>
            </w:r>
          </w:p>
        </w:tc>
      </w:tr>
      <w:tr w:rsidR="005A254C" w:rsidRPr="005A254C" w14:paraId="76B678F8" w14:textId="77777777" w:rsidTr="00BA0305">
        <w:tc>
          <w:tcPr>
            <w:tcW w:w="0" w:type="auto"/>
          </w:tcPr>
          <w:p w14:paraId="1887B7D1" w14:textId="77777777" w:rsidR="005A254C" w:rsidRPr="005A254C" w:rsidRDefault="005A254C" w:rsidP="005A254C">
            <w:pPr>
              <w:rPr>
                <w:rFonts w:ascii="Calibri" w:hAnsi="Calibri"/>
                <w:sz w:val="24"/>
                <w:szCs w:val="24"/>
              </w:rPr>
            </w:pPr>
            <w:r w:rsidRPr="005A254C">
              <w:rPr>
                <w:rFonts w:ascii="Calibri" w:hAnsi="Calibri"/>
                <w:sz w:val="24"/>
                <w:szCs w:val="24"/>
              </w:rPr>
              <w:t>Total cost to practice</w:t>
            </w:r>
          </w:p>
        </w:tc>
        <w:tc>
          <w:tcPr>
            <w:tcW w:w="0" w:type="auto"/>
          </w:tcPr>
          <w:p w14:paraId="035BE03F" w14:textId="77777777" w:rsidR="005A254C" w:rsidRPr="005A254C" w:rsidRDefault="005A254C" w:rsidP="005A254C">
            <w:pPr>
              <w:jc w:val="center"/>
              <w:rPr>
                <w:rFonts w:ascii="Calibri" w:hAnsi="Calibri"/>
                <w:sz w:val="24"/>
                <w:szCs w:val="24"/>
              </w:rPr>
            </w:pPr>
            <w:r w:rsidRPr="005A254C">
              <w:rPr>
                <w:rFonts w:ascii="Calibri" w:hAnsi="Calibri"/>
                <w:sz w:val="24"/>
                <w:szCs w:val="24"/>
              </w:rPr>
              <w:t>£4.80</w:t>
            </w:r>
          </w:p>
        </w:tc>
      </w:tr>
      <w:tr w:rsidR="005A254C" w:rsidRPr="005A254C" w14:paraId="59C4BD51" w14:textId="77777777" w:rsidTr="00BA0305">
        <w:tc>
          <w:tcPr>
            <w:tcW w:w="0" w:type="auto"/>
          </w:tcPr>
          <w:p w14:paraId="514BC91D" w14:textId="77777777" w:rsidR="005A254C" w:rsidRPr="005A254C" w:rsidRDefault="005A254C" w:rsidP="005A254C">
            <w:pPr>
              <w:rPr>
                <w:rFonts w:ascii="Calibri" w:hAnsi="Calibri"/>
                <w:sz w:val="28"/>
                <w:szCs w:val="24"/>
              </w:rPr>
            </w:pPr>
            <w:r w:rsidRPr="005A254C">
              <w:rPr>
                <w:rFonts w:ascii="Calibri" w:hAnsi="Calibri"/>
                <w:b/>
                <w:sz w:val="28"/>
                <w:szCs w:val="24"/>
              </w:rPr>
              <w:t>Total Profit Per Dose (PPD)</w:t>
            </w:r>
          </w:p>
        </w:tc>
        <w:tc>
          <w:tcPr>
            <w:tcW w:w="0" w:type="auto"/>
          </w:tcPr>
          <w:p w14:paraId="3E839A56" w14:textId="77777777" w:rsidR="005A254C" w:rsidRPr="005A254C" w:rsidRDefault="005A254C" w:rsidP="005A254C">
            <w:pPr>
              <w:jc w:val="center"/>
              <w:rPr>
                <w:rFonts w:ascii="Calibri" w:hAnsi="Calibri"/>
                <w:b/>
                <w:sz w:val="28"/>
                <w:szCs w:val="24"/>
              </w:rPr>
            </w:pPr>
            <w:r w:rsidRPr="005A254C">
              <w:rPr>
                <w:rFonts w:ascii="Calibri" w:hAnsi="Calibri"/>
                <w:b/>
                <w:sz w:val="28"/>
                <w:szCs w:val="24"/>
              </w:rPr>
              <w:t>£7.01</w:t>
            </w:r>
          </w:p>
        </w:tc>
      </w:tr>
    </w:tbl>
    <w:p w14:paraId="6B9FB1BA" w14:textId="77777777" w:rsidR="005A254C" w:rsidRPr="005A254C" w:rsidRDefault="005A254C" w:rsidP="005A254C">
      <w:pPr>
        <w:spacing w:after="0" w:line="240" w:lineRule="auto"/>
        <w:rPr>
          <w:rFonts w:ascii="Calibri" w:hAnsi="Calibri"/>
          <w:sz w:val="20"/>
        </w:rPr>
      </w:pPr>
    </w:p>
    <w:p w14:paraId="7CBF959C" w14:textId="758231C0" w:rsidR="005A254C" w:rsidRPr="005A254C" w:rsidRDefault="005A254C" w:rsidP="005A254C">
      <w:pPr>
        <w:autoSpaceDE w:val="0"/>
        <w:autoSpaceDN w:val="0"/>
        <w:adjustRightInd w:val="0"/>
        <w:spacing w:after="0" w:line="240" w:lineRule="auto"/>
        <w:rPr>
          <w:rFonts w:ascii="Calibri" w:hAnsi="Calibri" w:cs="Calibri"/>
          <w:color w:val="000000"/>
          <w:sz w:val="24"/>
          <w:szCs w:val="24"/>
        </w:rPr>
      </w:pPr>
      <w:r w:rsidRPr="005A254C">
        <w:rPr>
          <w:rFonts w:eastAsia="Times New Roman" w:cs="Times New Roman"/>
          <w:sz w:val="20"/>
        </w:rPr>
        <w:t>* The dispensing fee illustrated is for guidance purposes only and is based on a non-dispensing practice dispensing up to 457 items a month under rules applying from 1 October 2017.</w:t>
      </w:r>
    </w:p>
    <w:p w14:paraId="5CDB69D2" w14:textId="77777777" w:rsidR="005A254C" w:rsidRPr="005A254C" w:rsidRDefault="005A254C" w:rsidP="005A254C">
      <w:pPr>
        <w:spacing w:after="0" w:line="240" w:lineRule="auto"/>
      </w:pPr>
    </w:p>
    <w:p w14:paraId="775C7C0B" w14:textId="60ED6E56" w:rsidR="005A254C" w:rsidRDefault="005A254C" w:rsidP="00235854">
      <w:pPr>
        <w:pStyle w:val="NoSpacing"/>
        <w:rPr>
          <w:b/>
          <w:sz w:val="24"/>
        </w:rPr>
      </w:pPr>
      <w:r w:rsidRPr="00235854">
        <w:rPr>
          <w:b/>
          <w:sz w:val="24"/>
        </w:rPr>
        <w:t>Contact MASTA</w:t>
      </w:r>
    </w:p>
    <w:p w14:paraId="0FAED03B" w14:textId="77777777" w:rsidR="00235854" w:rsidRPr="00235854" w:rsidRDefault="00235854" w:rsidP="00235854">
      <w:pPr>
        <w:pStyle w:val="NoSpacing"/>
        <w:rPr>
          <w:b/>
          <w:sz w:val="24"/>
        </w:rPr>
      </w:pPr>
    </w:p>
    <w:p w14:paraId="320FA816" w14:textId="77777777" w:rsidR="005A254C" w:rsidRPr="005A254C" w:rsidRDefault="005A254C" w:rsidP="005A254C">
      <w:pPr>
        <w:spacing w:after="0" w:line="240" w:lineRule="auto"/>
        <w:rPr>
          <w:rFonts w:cstheme="minorHAnsi"/>
          <w:color w:val="0563C1" w:themeColor="hyperlink"/>
          <w:sz w:val="24"/>
          <w:szCs w:val="24"/>
          <w:u w:val="single"/>
        </w:rPr>
      </w:pPr>
      <w:r w:rsidRPr="005A254C">
        <w:rPr>
          <w:sz w:val="24"/>
          <w:szCs w:val="24"/>
        </w:rPr>
        <w:t xml:space="preserve">Tel: 0113 238 7552; Email: </w:t>
      </w:r>
      <w:hyperlink r:id="rId13" w:history="1">
        <w:r w:rsidRPr="005A254C">
          <w:rPr>
            <w:rFonts w:cstheme="minorHAnsi"/>
            <w:color w:val="0563C1" w:themeColor="hyperlink"/>
            <w:sz w:val="24"/>
            <w:szCs w:val="24"/>
            <w:u w:val="single"/>
          </w:rPr>
          <w:t>fluteam@masta.org</w:t>
        </w:r>
      </w:hyperlink>
    </w:p>
    <w:p w14:paraId="1DB011A9" w14:textId="77777777" w:rsidR="005A254C" w:rsidRPr="005A254C" w:rsidRDefault="005A254C" w:rsidP="005A254C">
      <w:pPr>
        <w:spacing w:after="0" w:line="240" w:lineRule="auto"/>
        <w:rPr>
          <w:rFonts w:cstheme="minorHAnsi"/>
          <w:color w:val="0563C1" w:themeColor="hyperlink"/>
          <w:sz w:val="24"/>
          <w:szCs w:val="24"/>
          <w:u w:val="single"/>
        </w:rPr>
      </w:pPr>
    </w:p>
    <w:p w14:paraId="4FDE1D30" w14:textId="60EDD282" w:rsidR="005E7848" w:rsidRPr="00235854" w:rsidRDefault="005E7848" w:rsidP="00AB419D">
      <w:pPr>
        <w:pStyle w:val="NoSpacing"/>
        <w:rPr>
          <w:b/>
          <w:sz w:val="28"/>
        </w:rPr>
      </w:pPr>
      <w:r w:rsidRPr="00235854">
        <w:rPr>
          <w:b/>
          <w:sz w:val="28"/>
        </w:rPr>
        <w:t>Mylan</w:t>
      </w:r>
    </w:p>
    <w:p w14:paraId="1EB1A271" w14:textId="1FB17B08" w:rsidR="00B778D3" w:rsidRDefault="00B778D3" w:rsidP="00AB419D">
      <w:pPr>
        <w:pStyle w:val="NoSpacing"/>
        <w:rPr>
          <w:sz w:val="24"/>
        </w:rPr>
      </w:pPr>
    </w:p>
    <w:p w14:paraId="533CDE41" w14:textId="657F2A15" w:rsidR="00B778D3" w:rsidRDefault="00B778D3" w:rsidP="00B778D3">
      <w:pPr>
        <w:pStyle w:val="NoSpacing"/>
        <w:rPr>
          <w:sz w:val="24"/>
        </w:rPr>
      </w:pPr>
      <w:r>
        <w:rPr>
          <w:sz w:val="24"/>
        </w:rPr>
        <w:t xml:space="preserve">Mylan produce both trivalent and quadrivalent vaccines, so any existing customers can simply switch formulations for the </w:t>
      </w:r>
      <w:r w:rsidR="004E7CC7">
        <w:rPr>
          <w:sz w:val="24"/>
        </w:rPr>
        <w:t>18-</w:t>
      </w:r>
      <w:r>
        <w:rPr>
          <w:sz w:val="24"/>
        </w:rPr>
        <w:t>65s.</w:t>
      </w:r>
    </w:p>
    <w:p w14:paraId="76C99B4C" w14:textId="77777777" w:rsidR="00B778D3" w:rsidRDefault="00B778D3" w:rsidP="00AB419D">
      <w:pPr>
        <w:pStyle w:val="NoSpacing"/>
        <w:rPr>
          <w:sz w:val="24"/>
        </w:rPr>
      </w:pPr>
    </w:p>
    <w:p w14:paraId="36DF90D5" w14:textId="69D120F4" w:rsidR="00235854" w:rsidRDefault="00235854" w:rsidP="00235854">
      <w:pPr>
        <w:pStyle w:val="NoSpacing"/>
        <w:rPr>
          <w:sz w:val="24"/>
        </w:rPr>
      </w:pPr>
      <w:r>
        <w:rPr>
          <w:sz w:val="24"/>
        </w:rPr>
        <w:t>If you need to move part of your order from MASTA to Seqirus then please contact their flu team as soon as possible to discuss your requirements.</w:t>
      </w:r>
    </w:p>
    <w:p w14:paraId="16EA1D11" w14:textId="2E69C249" w:rsidR="00235854" w:rsidRDefault="00235854" w:rsidP="00235854">
      <w:pPr>
        <w:pStyle w:val="NoSpacing"/>
        <w:rPr>
          <w:sz w:val="24"/>
        </w:rPr>
      </w:pPr>
    </w:p>
    <w:p w14:paraId="2EE28BC9" w14:textId="77777777" w:rsidR="00235854" w:rsidRPr="00235854" w:rsidRDefault="00235854" w:rsidP="00235854">
      <w:pPr>
        <w:autoSpaceDE w:val="0"/>
        <w:autoSpaceDN w:val="0"/>
        <w:adjustRightInd w:val="0"/>
        <w:spacing w:after="0" w:line="240" w:lineRule="auto"/>
        <w:rPr>
          <w:rFonts w:eastAsia="Times New Roman" w:cs="Times New Roman"/>
          <w:b/>
          <w:sz w:val="32"/>
          <w:szCs w:val="32"/>
        </w:rPr>
      </w:pPr>
      <w:r w:rsidRPr="00235854">
        <w:rPr>
          <w:rFonts w:eastAsia="Times New Roman" w:cs="Times New Roman"/>
          <w:b/>
          <w:sz w:val="32"/>
          <w:szCs w:val="32"/>
        </w:rPr>
        <w:t>Influvac QIV</w:t>
      </w:r>
    </w:p>
    <w:p w14:paraId="44195B16" w14:textId="77777777" w:rsidR="00235854" w:rsidRPr="00235854" w:rsidRDefault="00235854" w:rsidP="00235854">
      <w:pPr>
        <w:autoSpaceDE w:val="0"/>
        <w:autoSpaceDN w:val="0"/>
        <w:adjustRightInd w:val="0"/>
        <w:spacing w:after="0" w:line="240" w:lineRule="auto"/>
        <w:rPr>
          <w:rFonts w:eastAsia="Times New Roman" w:cs="Times New Roman"/>
          <w:sz w:val="32"/>
          <w:szCs w:val="32"/>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1"/>
        <w:gridCol w:w="1725"/>
      </w:tblGrid>
      <w:tr w:rsidR="00235854" w:rsidRPr="00235854" w14:paraId="382C2509" w14:textId="77777777" w:rsidTr="00BA0305">
        <w:trPr>
          <w:trHeight w:val="167"/>
        </w:trPr>
        <w:tc>
          <w:tcPr>
            <w:tcW w:w="5341" w:type="dxa"/>
          </w:tcPr>
          <w:p w14:paraId="1BC83642" w14:textId="77777777" w:rsidR="00235854" w:rsidRPr="00235854" w:rsidRDefault="00235854" w:rsidP="00235854">
            <w:pPr>
              <w:spacing w:after="0" w:line="240" w:lineRule="auto"/>
              <w:rPr>
                <w:rFonts w:ascii="Calibri" w:eastAsia="Times New Roman" w:hAnsi="Calibri" w:cs="Times New Roman"/>
                <w:b/>
                <w:sz w:val="24"/>
                <w:szCs w:val="24"/>
                <w:lang w:eastAsia="en-GB"/>
              </w:rPr>
            </w:pPr>
            <w:r w:rsidRPr="00235854">
              <w:rPr>
                <w:rFonts w:ascii="Calibri" w:eastAsia="Times New Roman" w:hAnsi="Calibri" w:cs="Times New Roman"/>
                <w:sz w:val="24"/>
                <w:szCs w:val="24"/>
                <w:lang w:eastAsia="en-GB"/>
              </w:rPr>
              <w:t>NHS Price</w:t>
            </w:r>
          </w:p>
        </w:tc>
        <w:tc>
          <w:tcPr>
            <w:tcW w:w="1725" w:type="dxa"/>
          </w:tcPr>
          <w:p w14:paraId="6AD63E97" w14:textId="77777777" w:rsidR="00235854" w:rsidRPr="00235854" w:rsidRDefault="00235854" w:rsidP="00235854">
            <w:pPr>
              <w:spacing w:after="0" w:line="240" w:lineRule="auto"/>
              <w:jc w:val="center"/>
              <w:rPr>
                <w:sz w:val="24"/>
              </w:rPr>
            </w:pPr>
            <w:r w:rsidRPr="00235854">
              <w:rPr>
                <w:sz w:val="24"/>
              </w:rPr>
              <w:t>£9.94</w:t>
            </w:r>
          </w:p>
        </w:tc>
      </w:tr>
      <w:tr w:rsidR="00235854" w:rsidRPr="00235854" w14:paraId="79DE416A" w14:textId="77777777" w:rsidTr="00BA0305">
        <w:trPr>
          <w:trHeight w:val="190"/>
        </w:trPr>
        <w:tc>
          <w:tcPr>
            <w:tcW w:w="5341" w:type="dxa"/>
          </w:tcPr>
          <w:p w14:paraId="10959F9E" w14:textId="77777777" w:rsidR="00235854" w:rsidRPr="00235854" w:rsidRDefault="00235854" w:rsidP="00235854">
            <w:pPr>
              <w:spacing w:after="0" w:line="240" w:lineRule="auto"/>
              <w:rPr>
                <w:rFonts w:ascii="Calibri" w:eastAsia="Times New Roman" w:hAnsi="Calibri" w:cs="Times New Roman"/>
                <w:b/>
                <w:sz w:val="24"/>
                <w:szCs w:val="24"/>
                <w:lang w:eastAsia="en-GB"/>
              </w:rPr>
            </w:pPr>
            <w:r w:rsidRPr="00235854">
              <w:rPr>
                <w:rFonts w:ascii="Calibri" w:eastAsia="Times New Roman" w:hAnsi="Calibri" w:cs="Times New Roman"/>
                <w:sz w:val="24"/>
                <w:szCs w:val="24"/>
                <w:lang w:eastAsia="en-GB"/>
              </w:rPr>
              <w:t>Dispensing Fee*</w:t>
            </w:r>
          </w:p>
        </w:tc>
        <w:tc>
          <w:tcPr>
            <w:tcW w:w="1725" w:type="dxa"/>
          </w:tcPr>
          <w:p w14:paraId="57191F9A" w14:textId="77777777" w:rsidR="00235854" w:rsidRPr="00235854" w:rsidRDefault="00235854" w:rsidP="00235854">
            <w:pPr>
              <w:spacing w:after="0" w:line="240" w:lineRule="auto"/>
              <w:jc w:val="center"/>
              <w:rPr>
                <w:sz w:val="24"/>
              </w:rPr>
            </w:pPr>
            <w:r w:rsidRPr="00235854">
              <w:rPr>
                <w:rFonts w:ascii="Calibri" w:hAnsi="Calibri" w:cs="Calibri"/>
                <w:color w:val="000000"/>
                <w:sz w:val="24"/>
                <w:szCs w:val="24"/>
              </w:rPr>
              <w:t>£2.209</w:t>
            </w:r>
          </w:p>
        </w:tc>
      </w:tr>
      <w:tr w:rsidR="00235854" w:rsidRPr="00235854" w14:paraId="4B79C48A" w14:textId="77777777" w:rsidTr="00BA0305">
        <w:trPr>
          <w:trHeight w:val="190"/>
        </w:trPr>
        <w:tc>
          <w:tcPr>
            <w:tcW w:w="5341" w:type="dxa"/>
          </w:tcPr>
          <w:p w14:paraId="5E8083FB" w14:textId="77777777" w:rsidR="00235854" w:rsidRPr="00235854" w:rsidRDefault="00235854" w:rsidP="00235854">
            <w:pPr>
              <w:spacing w:after="0" w:line="240" w:lineRule="auto"/>
              <w:rPr>
                <w:rFonts w:ascii="Calibri" w:eastAsia="Times New Roman" w:hAnsi="Calibri" w:cs="Times New Roman"/>
                <w:b/>
                <w:sz w:val="24"/>
                <w:szCs w:val="24"/>
                <w:lang w:eastAsia="en-GB"/>
              </w:rPr>
            </w:pPr>
            <w:r w:rsidRPr="00235854">
              <w:rPr>
                <w:rFonts w:ascii="Calibri" w:eastAsia="Times New Roman" w:hAnsi="Calibri" w:cs="Times New Roman"/>
                <w:sz w:val="24"/>
                <w:szCs w:val="24"/>
                <w:lang w:eastAsia="en-GB"/>
              </w:rPr>
              <w:t>VAT (20%)</w:t>
            </w:r>
          </w:p>
        </w:tc>
        <w:tc>
          <w:tcPr>
            <w:tcW w:w="1725" w:type="dxa"/>
          </w:tcPr>
          <w:p w14:paraId="0354136C" w14:textId="77777777" w:rsidR="00235854" w:rsidRPr="00235854" w:rsidRDefault="00235854" w:rsidP="00235854">
            <w:pPr>
              <w:spacing w:after="0" w:line="240" w:lineRule="auto"/>
              <w:jc w:val="center"/>
              <w:rPr>
                <w:sz w:val="24"/>
              </w:rPr>
            </w:pPr>
            <w:r w:rsidRPr="00235854">
              <w:rPr>
                <w:sz w:val="24"/>
              </w:rPr>
              <w:t>£1.99</w:t>
            </w:r>
          </w:p>
        </w:tc>
      </w:tr>
      <w:tr w:rsidR="00235854" w:rsidRPr="00235854" w14:paraId="5E073676" w14:textId="77777777" w:rsidTr="00BA0305">
        <w:trPr>
          <w:trHeight w:val="156"/>
        </w:trPr>
        <w:tc>
          <w:tcPr>
            <w:tcW w:w="5341" w:type="dxa"/>
          </w:tcPr>
          <w:p w14:paraId="1975C5B8" w14:textId="77777777" w:rsidR="00235854" w:rsidRPr="00235854" w:rsidRDefault="00235854" w:rsidP="00235854">
            <w:pPr>
              <w:spacing w:after="0" w:line="240" w:lineRule="auto"/>
              <w:rPr>
                <w:rFonts w:ascii="Calibri" w:eastAsia="Times New Roman" w:hAnsi="Calibri" w:cs="Times New Roman"/>
                <w:b/>
                <w:sz w:val="28"/>
                <w:szCs w:val="24"/>
                <w:lang w:eastAsia="en-GB"/>
              </w:rPr>
            </w:pPr>
            <w:r w:rsidRPr="00235854">
              <w:rPr>
                <w:rFonts w:ascii="Calibri" w:eastAsia="Times New Roman" w:hAnsi="Calibri" w:cs="Times New Roman"/>
                <w:b/>
                <w:sz w:val="28"/>
                <w:szCs w:val="24"/>
                <w:lang w:eastAsia="en-GB"/>
              </w:rPr>
              <w:t xml:space="preserve">Total NHS Reimbursement </w:t>
            </w:r>
          </w:p>
        </w:tc>
        <w:tc>
          <w:tcPr>
            <w:tcW w:w="1725" w:type="dxa"/>
          </w:tcPr>
          <w:p w14:paraId="562ED752" w14:textId="77777777" w:rsidR="00235854" w:rsidRPr="00235854" w:rsidRDefault="00235854" w:rsidP="00235854">
            <w:pPr>
              <w:spacing w:after="0" w:line="240" w:lineRule="auto"/>
              <w:jc w:val="center"/>
              <w:rPr>
                <w:b/>
                <w:sz w:val="24"/>
              </w:rPr>
            </w:pPr>
            <w:r w:rsidRPr="00235854">
              <w:rPr>
                <w:b/>
                <w:sz w:val="28"/>
              </w:rPr>
              <w:t>£14.14</w:t>
            </w:r>
          </w:p>
        </w:tc>
      </w:tr>
      <w:tr w:rsidR="00235854" w:rsidRPr="00235854" w14:paraId="187416A5" w14:textId="77777777" w:rsidTr="00BA0305">
        <w:trPr>
          <w:trHeight w:val="156"/>
        </w:trPr>
        <w:tc>
          <w:tcPr>
            <w:tcW w:w="5341" w:type="dxa"/>
          </w:tcPr>
          <w:p w14:paraId="55C12641" w14:textId="77777777" w:rsidR="00235854" w:rsidRPr="00235854" w:rsidRDefault="00235854" w:rsidP="00235854">
            <w:pPr>
              <w:spacing w:after="0" w:line="240" w:lineRule="auto"/>
              <w:rPr>
                <w:rFonts w:ascii="Calibri" w:eastAsia="Times New Roman" w:hAnsi="Calibri" w:cs="Times New Roman"/>
                <w:sz w:val="24"/>
                <w:szCs w:val="24"/>
                <w:lang w:eastAsia="en-GB"/>
              </w:rPr>
            </w:pPr>
            <w:r w:rsidRPr="00235854">
              <w:rPr>
                <w:rFonts w:ascii="Calibri" w:eastAsia="Times New Roman" w:hAnsi="Calibri" w:cs="Times New Roman"/>
                <w:sz w:val="24"/>
                <w:szCs w:val="24"/>
                <w:lang w:eastAsia="en-GB"/>
              </w:rPr>
              <w:t>Actual cost after discount (50%)</w:t>
            </w:r>
          </w:p>
        </w:tc>
        <w:tc>
          <w:tcPr>
            <w:tcW w:w="1725" w:type="dxa"/>
          </w:tcPr>
          <w:p w14:paraId="6DE58033" w14:textId="77777777" w:rsidR="00235854" w:rsidRPr="00235854" w:rsidRDefault="00235854" w:rsidP="00235854">
            <w:pPr>
              <w:spacing w:after="0" w:line="240" w:lineRule="auto"/>
              <w:jc w:val="center"/>
              <w:rPr>
                <w:sz w:val="24"/>
              </w:rPr>
            </w:pPr>
            <w:r w:rsidRPr="00235854">
              <w:rPr>
                <w:sz w:val="24"/>
              </w:rPr>
              <w:t>£4.97</w:t>
            </w:r>
          </w:p>
        </w:tc>
      </w:tr>
      <w:tr w:rsidR="00235854" w:rsidRPr="00235854" w14:paraId="19808F07" w14:textId="77777777" w:rsidTr="00BA0305">
        <w:trPr>
          <w:trHeight w:val="140"/>
        </w:trPr>
        <w:tc>
          <w:tcPr>
            <w:tcW w:w="5341" w:type="dxa"/>
          </w:tcPr>
          <w:p w14:paraId="389583FF" w14:textId="77777777" w:rsidR="00235854" w:rsidRPr="00235854" w:rsidRDefault="00235854" w:rsidP="00235854">
            <w:pPr>
              <w:spacing w:after="0" w:line="240" w:lineRule="auto"/>
              <w:rPr>
                <w:rFonts w:ascii="Calibri" w:eastAsia="Times New Roman" w:hAnsi="Calibri" w:cs="Times New Roman"/>
                <w:sz w:val="24"/>
                <w:szCs w:val="24"/>
                <w:lang w:eastAsia="en-GB"/>
              </w:rPr>
            </w:pPr>
            <w:r w:rsidRPr="00235854">
              <w:rPr>
                <w:rFonts w:ascii="Calibri" w:eastAsia="Times New Roman" w:hAnsi="Calibri" w:cs="Times New Roman"/>
                <w:sz w:val="24"/>
                <w:szCs w:val="24"/>
                <w:lang w:eastAsia="en-GB"/>
              </w:rPr>
              <w:t>VAT (20%)</w:t>
            </w:r>
          </w:p>
        </w:tc>
        <w:tc>
          <w:tcPr>
            <w:tcW w:w="1725" w:type="dxa"/>
          </w:tcPr>
          <w:p w14:paraId="5AF58F1F" w14:textId="77777777" w:rsidR="00235854" w:rsidRPr="00235854" w:rsidRDefault="00235854" w:rsidP="00235854">
            <w:pPr>
              <w:spacing w:after="0" w:line="240" w:lineRule="auto"/>
              <w:jc w:val="center"/>
              <w:rPr>
                <w:sz w:val="24"/>
              </w:rPr>
            </w:pPr>
            <w:r w:rsidRPr="00235854">
              <w:rPr>
                <w:sz w:val="24"/>
              </w:rPr>
              <w:t>£0.99</w:t>
            </w:r>
          </w:p>
        </w:tc>
      </w:tr>
      <w:tr w:rsidR="00235854" w:rsidRPr="00235854" w14:paraId="6B52B473" w14:textId="77777777" w:rsidTr="00BA0305">
        <w:trPr>
          <w:trHeight w:val="234"/>
        </w:trPr>
        <w:tc>
          <w:tcPr>
            <w:tcW w:w="5341" w:type="dxa"/>
          </w:tcPr>
          <w:p w14:paraId="73FBAF32" w14:textId="77777777" w:rsidR="00235854" w:rsidRPr="00235854" w:rsidRDefault="00235854" w:rsidP="00235854">
            <w:pPr>
              <w:spacing w:after="0" w:line="240" w:lineRule="auto"/>
              <w:rPr>
                <w:rFonts w:ascii="Calibri" w:eastAsia="Times New Roman" w:hAnsi="Calibri" w:cs="Times New Roman"/>
                <w:sz w:val="24"/>
                <w:szCs w:val="24"/>
                <w:lang w:eastAsia="en-GB"/>
              </w:rPr>
            </w:pPr>
            <w:r w:rsidRPr="00235854">
              <w:rPr>
                <w:rFonts w:ascii="Calibri" w:eastAsia="Times New Roman" w:hAnsi="Calibri" w:cs="Times New Roman"/>
                <w:sz w:val="24"/>
                <w:szCs w:val="24"/>
                <w:lang w:eastAsia="en-GB"/>
              </w:rPr>
              <w:t>Total cost to practice</w:t>
            </w:r>
          </w:p>
        </w:tc>
        <w:tc>
          <w:tcPr>
            <w:tcW w:w="1725" w:type="dxa"/>
          </w:tcPr>
          <w:p w14:paraId="197CFF16" w14:textId="77777777" w:rsidR="00235854" w:rsidRPr="00235854" w:rsidRDefault="00235854" w:rsidP="00235854">
            <w:pPr>
              <w:spacing w:after="0" w:line="240" w:lineRule="auto"/>
              <w:jc w:val="center"/>
              <w:rPr>
                <w:sz w:val="24"/>
              </w:rPr>
            </w:pPr>
            <w:r w:rsidRPr="00235854">
              <w:rPr>
                <w:sz w:val="24"/>
              </w:rPr>
              <w:t>£5.96</w:t>
            </w:r>
          </w:p>
        </w:tc>
      </w:tr>
      <w:tr w:rsidR="00235854" w:rsidRPr="00235854" w14:paraId="1E31185A" w14:textId="77777777" w:rsidTr="00BA0305">
        <w:trPr>
          <w:trHeight w:val="140"/>
        </w:trPr>
        <w:tc>
          <w:tcPr>
            <w:tcW w:w="5341" w:type="dxa"/>
            <w:tcBorders>
              <w:bottom w:val="single" w:sz="4" w:space="0" w:color="auto"/>
            </w:tcBorders>
          </w:tcPr>
          <w:p w14:paraId="5EE1883A" w14:textId="77777777" w:rsidR="00235854" w:rsidRPr="00235854" w:rsidRDefault="00235854" w:rsidP="00235854">
            <w:pPr>
              <w:spacing w:after="0" w:line="240" w:lineRule="auto"/>
              <w:rPr>
                <w:rFonts w:ascii="Calibri" w:eastAsia="Times New Roman" w:hAnsi="Calibri" w:cs="Times New Roman"/>
                <w:b/>
                <w:sz w:val="28"/>
                <w:szCs w:val="24"/>
                <w:lang w:eastAsia="en-GB"/>
              </w:rPr>
            </w:pPr>
            <w:r w:rsidRPr="00235854">
              <w:rPr>
                <w:rFonts w:ascii="Calibri" w:eastAsia="Times New Roman" w:hAnsi="Calibri" w:cs="Times New Roman"/>
                <w:b/>
                <w:sz w:val="28"/>
                <w:szCs w:val="24"/>
                <w:lang w:eastAsia="en-GB"/>
              </w:rPr>
              <w:t xml:space="preserve">Total Profit Per Dose (PPD) </w:t>
            </w:r>
          </w:p>
        </w:tc>
        <w:tc>
          <w:tcPr>
            <w:tcW w:w="1725" w:type="dxa"/>
            <w:tcBorders>
              <w:bottom w:val="single" w:sz="4" w:space="0" w:color="auto"/>
            </w:tcBorders>
          </w:tcPr>
          <w:p w14:paraId="0D33FB01" w14:textId="77777777" w:rsidR="00235854" w:rsidRPr="00235854" w:rsidRDefault="00235854" w:rsidP="00235854">
            <w:pPr>
              <w:spacing w:after="0" w:line="240" w:lineRule="auto"/>
              <w:jc w:val="center"/>
              <w:rPr>
                <w:b/>
                <w:sz w:val="24"/>
              </w:rPr>
            </w:pPr>
            <w:r w:rsidRPr="00235854">
              <w:rPr>
                <w:b/>
                <w:sz w:val="28"/>
              </w:rPr>
              <w:t>£8.18</w:t>
            </w:r>
          </w:p>
        </w:tc>
      </w:tr>
    </w:tbl>
    <w:p w14:paraId="5C7FF701" w14:textId="188968B5" w:rsidR="00235854" w:rsidRDefault="00235854" w:rsidP="00235854">
      <w:pPr>
        <w:autoSpaceDE w:val="0"/>
        <w:autoSpaceDN w:val="0"/>
        <w:adjustRightInd w:val="0"/>
        <w:spacing w:after="0" w:line="240" w:lineRule="auto"/>
        <w:jc w:val="center"/>
        <w:rPr>
          <w:rFonts w:ascii="Calibri" w:hAnsi="Calibri" w:cs="Calibri"/>
          <w:b/>
          <w:color w:val="000000"/>
          <w:sz w:val="24"/>
          <w:szCs w:val="32"/>
        </w:rPr>
      </w:pPr>
    </w:p>
    <w:p w14:paraId="6A829D1A" w14:textId="2FD1D4E0" w:rsidR="00AA3EBA" w:rsidRDefault="00AA3EBA" w:rsidP="00235854">
      <w:pPr>
        <w:autoSpaceDE w:val="0"/>
        <w:autoSpaceDN w:val="0"/>
        <w:adjustRightInd w:val="0"/>
        <w:spacing w:after="0" w:line="240" w:lineRule="auto"/>
        <w:jc w:val="center"/>
        <w:rPr>
          <w:rFonts w:ascii="Calibri" w:hAnsi="Calibri" w:cs="Calibri"/>
          <w:b/>
          <w:color w:val="000000"/>
          <w:sz w:val="24"/>
          <w:szCs w:val="32"/>
        </w:rPr>
      </w:pPr>
    </w:p>
    <w:p w14:paraId="1FE05478" w14:textId="7C1530D1" w:rsidR="00AA3EBA" w:rsidRDefault="00AA3EBA" w:rsidP="00235854">
      <w:pPr>
        <w:autoSpaceDE w:val="0"/>
        <w:autoSpaceDN w:val="0"/>
        <w:adjustRightInd w:val="0"/>
        <w:spacing w:after="0" w:line="240" w:lineRule="auto"/>
        <w:jc w:val="center"/>
        <w:rPr>
          <w:rFonts w:ascii="Calibri" w:hAnsi="Calibri" w:cs="Calibri"/>
          <w:b/>
          <w:color w:val="000000"/>
          <w:sz w:val="24"/>
          <w:szCs w:val="32"/>
        </w:rPr>
      </w:pPr>
    </w:p>
    <w:p w14:paraId="53FECF17" w14:textId="77777777" w:rsidR="00AA3EBA" w:rsidRPr="00235854" w:rsidRDefault="00AA3EBA" w:rsidP="00235854">
      <w:pPr>
        <w:autoSpaceDE w:val="0"/>
        <w:autoSpaceDN w:val="0"/>
        <w:adjustRightInd w:val="0"/>
        <w:spacing w:after="0" w:line="240" w:lineRule="auto"/>
        <w:jc w:val="center"/>
        <w:rPr>
          <w:rFonts w:ascii="Calibri" w:hAnsi="Calibri" w:cs="Calibri"/>
          <w:b/>
          <w:color w:val="000000"/>
          <w:sz w:val="24"/>
          <w:szCs w:val="32"/>
        </w:rPr>
      </w:pPr>
    </w:p>
    <w:p w14:paraId="3433D80D" w14:textId="77777777" w:rsidR="00235854" w:rsidRPr="00235854" w:rsidRDefault="00235854" w:rsidP="00235854">
      <w:pPr>
        <w:autoSpaceDE w:val="0"/>
        <w:autoSpaceDN w:val="0"/>
        <w:adjustRightInd w:val="0"/>
        <w:spacing w:after="0" w:line="240" w:lineRule="auto"/>
        <w:rPr>
          <w:rFonts w:eastAsia="Times New Roman" w:cs="Times New Roman"/>
          <w:b/>
          <w:sz w:val="32"/>
          <w:szCs w:val="32"/>
        </w:rPr>
      </w:pPr>
      <w:r w:rsidRPr="00235854">
        <w:rPr>
          <w:rFonts w:eastAsia="Times New Roman" w:cs="Times New Roman"/>
          <w:b/>
          <w:sz w:val="32"/>
          <w:szCs w:val="32"/>
        </w:rPr>
        <w:lastRenderedPageBreak/>
        <w:t>Generic QIV</w:t>
      </w:r>
    </w:p>
    <w:p w14:paraId="43F439C6" w14:textId="77777777" w:rsidR="00235854" w:rsidRPr="00235854" w:rsidRDefault="00235854" w:rsidP="00235854">
      <w:pPr>
        <w:autoSpaceDE w:val="0"/>
        <w:autoSpaceDN w:val="0"/>
        <w:adjustRightInd w:val="0"/>
        <w:spacing w:after="0" w:line="240" w:lineRule="auto"/>
        <w:rPr>
          <w:rFonts w:eastAsia="Times New Roman" w:cs="Times New Roman"/>
          <w:sz w:val="32"/>
          <w:szCs w:val="32"/>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1"/>
        <w:gridCol w:w="1725"/>
      </w:tblGrid>
      <w:tr w:rsidR="00235854" w:rsidRPr="00235854" w14:paraId="6745F536" w14:textId="77777777" w:rsidTr="00BA0305">
        <w:trPr>
          <w:trHeight w:val="167"/>
        </w:trPr>
        <w:tc>
          <w:tcPr>
            <w:tcW w:w="5341" w:type="dxa"/>
          </w:tcPr>
          <w:p w14:paraId="0B592C9C" w14:textId="77777777" w:rsidR="00235854" w:rsidRPr="00235854" w:rsidRDefault="00235854" w:rsidP="00235854">
            <w:pPr>
              <w:spacing w:after="0" w:line="240" w:lineRule="auto"/>
              <w:rPr>
                <w:rFonts w:ascii="Calibri" w:eastAsia="Times New Roman" w:hAnsi="Calibri" w:cs="Times New Roman"/>
                <w:b/>
                <w:sz w:val="24"/>
                <w:szCs w:val="24"/>
                <w:lang w:eastAsia="en-GB"/>
              </w:rPr>
            </w:pPr>
            <w:r w:rsidRPr="00235854">
              <w:rPr>
                <w:rFonts w:ascii="Calibri" w:eastAsia="Times New Roman" w:hAnsi="Calibri" w:cs="Times New Roman"/>
                <w:sz w:val="24"/>
                <w:szCs w:val="24"/>
                <w:lang w:eastAsia="en-GB"/>
              </w:rPr>
              <w:t>NHS Price</w:t>
            </w:r>
          </w:p>
        </w:tc>
        <w:tc>
          <w:tcPr>
            <w:tcW w:w="1725" w:type="dxa"/>
          </w:tcPr>
          <w:p w14:paraId="771121AE" w14:textId="77777777" w:rsidR="00235854" w:rsidRPr="00235854" w:rsidRDefault="00235854" w:rsidP="00235854">
            <w:pPr>
              <w:spacing w:after="0" w:line="240" w:lineRule="auto"/>
              <w:jc w:val="center"/>
              <w:rPr>
                <w:rFonts w:ascii="Calibri" w:hAnsi="Calibri"/>
                <w:sz w:val="24"/>
                <w:szCs w:val="24"/>
              </w:rPr>
            </w:pPr>
            <w:r w:rsidRPr="00235854">
              <w:rPr>
                <w:rFonts w:ascii="Calibri" w:hAnsi="Calibri"/>
                <w:sz w:val="24"/>
                <w:szCs w:val="24"/>
              </w:rPr>
              <w:t>£8.00</w:t>
            </w:r>
          </w:p>
        </w:tc>
      </w:tr>
      <w:tr w:rsidR="00235854" w:rsidRPr="00235854" w14:paraId="6986A411" w14:textId="77777777" w:rsidTr="00BA0305">
        <w:trPr>
          <w:trHeight w:val="190"/>
        </w:trPr>
        <w:tc>
          <w:tcPr>
            <w:tcW w:w="5341" w:type="dxa"/>
          </w:tcPr>
          <w:p w14:paraId="01DD1321" w14:textId="77777777" w:rsidR="00235854" w:rsidRPr="00235854" w:rsidRDefault="00235854" w:rsidP="00235854">
            <w:pPr>
              <w:spacing w:after="0" w:line="240" w:lineRule="auto"/>
              <w:rPr>
                <w:rFonts w:ascii="Calibri" w:eastAsia="Times New Roman" w:hAnsi="Calibri" w:cs="Times New Roman"/>
                <w:b/>
                <w:sz w:val="24"/>
                <w:szCs w:val="24"/>
                <w:lang w:eastAsia="en-GB"/>
              </w:rPr>
            </w:pPr>
            <w:r w:rsidRPr="00235854">
              <w:rPr>
                <w:rFonts w:ascii="Calibri" w:eastAsia="Times New Roman" w:hAnsi="Calibri" w:cs="Times New Roman"/>
                <w:sz w:val="24"/>
                <w:szCs w:val="24"/>
                <w:lang w:eastAsia="en-GB"/>
              </w:rPr>
              <w:t>Dispensing Fee*</w:t>
            </w:r>
          </w:p>
        </w:tc>
        <w:tc>
          <w:tcPr>
            <w:tcW w:w="1725" w:type="dxa"/>
          </w:tcPr>
          <w:p w14:paraId="19338BCB" w14:textId="77777777" w:rsidR="00235854" w:rsidRPr="00235854" w:rsidRDefault="00235854" w:rsidP="00235854">
            <w:pPr>
              <w:spacing w:after="0" w:line="240" w:lineRule="auto"/>
              <w:jc w:val="center"/>
              <w:rPr>
                <w:rFonts w:ascii="Calibri" w:hAnsi="Calibri"/>
                <w:sz w:val="24"/>
                <w:szCs w:val="24"/>
              </w:rPr>
            </w:pPr>
            <w:r w:rsidRPr="00235854">
              <w:rPr>
                <w:rFonts w:ascii="Calibri" w:hAnsi="Calibri"/>
                <w:sz w:val="24"/>
                <w:szCs w:val="24"/>
              </w:rPr>
              <w:t>£2.209</w:t>
            </w:r>
          </w:p>
        </w:tc>
      </w:tr>
      <w:tr w:rsidR="00235854" w:rsidRPr="00235854" w14:paraId="6617471C" w14:textId="77777777" w:rsidTr="00BA0305">
        <w:trPr>
          <w:trHeight w:val="190"/>
        </w:trPr>
        <w:tc>
          <w:tcPr>
            <w:tcW w:w="5341" w:type="dxa"/>
          </w:tcPr>
          <w:p w14:paraId="6D510F4B" w14:textId="77777777" w:rsidR="00235854" w:rsidRPr="00235854" w:rsidRDefault="00235854" w:rsidP="00235854">
            <w:pPr>
              <w:spacing w:after="0" w:line="240" w:lineRule="auto"/>
              <w:rPr>
                <w:rFonts w:ascii="Calibri" w:eastAsia="Times New Roman" w:hAnsi="Calibri" w:cs="Times New Roman"/>
                <w:b/>
                <w:sz w:val="24"/>
                <w:szCs w:val="24"/>
                <w:lang w:eastAsia="en-GB"/>
              </w:rPr>
            </w:pPr>
            <w:r w:rsidRPr="00235854">
              <w:rPr>
                <w:rFonts w:ascii="Calibri" w:eastAsia="Times New Roman" w:hAnsi="Calibri" w:cs="Times New Roman"/>
                <w:sz w:val="24"/>
                <w:szCs w:val="24"/>
                <w:lang w:eastAsia="en-GB"/>
              </w:rPr>
              <w:t>VAT (20%)</w:t>
            </w:r>
          </w:p>
        </w:tc>
        <w:tc>
          <w:tcPr>
            <w:tcW w:w="1725" w:type="dxa"/>
          </w:tcPr>
          <w:p w14:paraId="59C49865" w14:textId="77777777" w:rsidR="00235854" w:rsidRPr="00235854" w:rsidRDefault="00235854" w:rsidP="00235854">
            <w:pPr>
              <w:spacing w:after="0" w:line="240" w:lineRule="auto"/>
              <w:jc w:val="center"/>
              <w:rPr>
                <w:rFonts w:ascii="Calibri" w:hAnsi="Calibri"/>
                <w:sz w:val="24"/>
                <w:szCs w:val="24"/>
              </w:rPr>
            </w:pPr>
            <w:r w:rsidRPr="00235854">
              <w:rPr>
                <w:rFonts w:ascii="Calibri" w:hAnsi="Calibri"/>
                <w:sz w:val="24"/>
                <w:szCs w:val="24"/>
              </w:rPr>
              <w:t>£1.60</w:t>
            </w:r>
          </w:p>
        </w:tc>
      </w:tr>
      <w:tr w:rsidR="00235854" w:rsidRPr="00235854" w14:paraId="53B1348B" w14:textId="77777777" w:rsidTr="00BA0305">
        <w:trPr>
          <w:trHeight w:val="156"/>
        </w:trPr>
        <w:tc>
          <w:tcPr>
            <w:tcW w:w="5341" w:type="dxa"/>
          </w:tcPr>
          <w:p w14:paraId="260FF702" w14:textId="77777777" w:rsidR="00235854" w:rsidRPr="00235854" w:rsidRDefault="00235854" w:rsidP="00235854">
            <w:pPr>
              <w:spacing w:after="0" w:line="240" w:lineRule="auto"/>
              <w:rPr>
                <w:rFonts w:ascii="Calibri" w:eastAsia="Times New Roman" w:hAnsi="Calibri" w:cs="Times New Roman"/>
                <w:b/>
                <w:sz w:val="28"/>
                <w:szCs w:val="24"/>
                <w:lang w:eastAsia="en-GB"/>
              </w:rPr>
            </w:pPr>
            <w:r w:rsidRPr="00235854">
              <w:rPr>
                <w:rFonts w:ascii="Calibri" w:eastAsia="Times New Roman" w:hAnsi="Calibri" w:cs="Times New Roman"/>
                <w:b/>
                <w:sz w:val="28"/>
                <w:szCs w:val="24"/>
                <w:lang w:eastAsia="en-GB"/>
              </w:rPr>
              <w:t xml:space="preserve">Total NHS Reimbursement </w:t>
            </w:r>
          </w:p>
        </w:tc>
        <w:tc>
          <w:tcPr>
            <w:tcW w:w="1725" w:type="dxa"/>
          </w:tcPr>
          <w:p w14:paraId="4D83C88A" w14:textId="77777777" w:rsidR="00235854" w:rsidRPr="00235854" w:rsidRDefault="00235854" w:rsidP="00235854">
            <w:pPr>
              <w:spacing w:after="0" w:line="240" w:lineRule="auto"/>
              <w:jc w:val="center"/>
              <w:rPr>
                <w:rFonts w:ascii="Calibri" w:hAnsi="Calibri"/>
                <w:b/>
                <w:sz w:val="28"/>
                <w:szCs w:val="24"/>
              </w:rPr>
            </w:pPr>
            <w:r w:rsidRPr="00235854">
              <w:rPr>
                <w:rFonts w:ascii="Calibri" w:hAnsi="Calibri"/>
                <w:b/>
                <w:sz w:val="28"/>
                <w:szCs w:val="24"/>
              </w:rPr>
              <w:t>£11.81</w:t>
            </w:r>
          </w:p>
        </w:tc>
      </w:tr>
      <w:tr w:rsidR="00235854" w:rsidRPr="00235854" w14:paraId="6587CFD5" w14:textId="77777777" w:rsidTr="00BA0305">
        <w:trPr>
          <w:trHeight w:val="156"/>
        </w:trPr>
        <w:tc>
          <w:tcPr>
            <w:tcW w:w="5341" w:type="dxa"/>
          </w:tcPr>
          <w:p w14:paraId="50398D3D" w14:textId="77777777" w:rsidR="00235854" w:rsidRPr="00235854" w:rsidRDefault="00235854" w:rsidP="00235854">
            <w:pPr>
              <w:spacing w:after="0" w:line="240" w:lineRule="auto"/>
              <w:rPr>
                <w:rFonts w:ascii="Calibri" w:eastAsia="Times New Roman" w:hAnsi="Calibri" w:cs="Times New Roman"/>
                <w:sz w:val="24"/>
                <w:szCs w:val="24"/>
                <w:lang w:eastAsia="en-GB"/>
              </w:rPr>
            </w:pPr>
            <w:r w:rsidRPr="00235854">
              <w:rPr>
                <w:rFonts w:ascii="Calibri" w:eastAsia="Times New Roman" w:hAnsi="Calibri" w:cs="Times New Roman"/>
                <w:sz w:val="24"/>
                <w:szCs w:val="24"/>
                <w:lang w:eastAsia="en-GB"/>
              </w:rPr>
              <w:t>Actual cost after discount (50%)</w:t>
            </w:r>
          </w:p>
        </w:tc>
        <w:tc>
          <w:tcPr>
            <w:tcW w:w="1725" w:type="dxa"/>
          </w:tcPr>
          <w:p w14:paraId="4AEC47B5" w14:textId="77777777" w:rsidR="00235854" w:rsidRPr="00235854" w:rsidRDefault="00235854" w:rsidP="00235854">
            <w:pPr>
              <w:spacing w:after="0" w:line="240" w:lineRule="auto"/>
              <w:jc w:val="center"/>
              <w:rPr>
                <w:rFonts w:ascii="Calibri" w:hAnsi="Calibri"/>
                <w:sz w:val="24"/>
                <w:szCs w:val="24"/>
              </w:rPr>
            </w:pPr>
            <w:r w:rsidRPr="00235854">
              <w:rPr>
                <w:rFonts w:ascii="Calibri" w:hAnsi="Calibri"/>
                <w:sz w:val="24"/>
                <w:szCs w:val="24"/>
              </w:rPr>
              <w:t>£4.00</w:t>
            </w:r>
          </w:p>
        </w:tc>
      </w:tr>
      <w:tr w:rsidR="00235854" w:rsidRPr="00235854" w14:paraId="7B69D0FB" w14:textId="77777777" w:rsidTr="00BA0305">
        <w:trPr>
          <w:trHeight w:val="140"/>
        </w:trPr>
        <w:tc>
          <w:tcPr>
            <w:tcW w:w="5341" w:type="dxa"/>
          </w:tcPr>
          <w:p w14:paraId="263CF97E" w14:textId="77777777" w:rsidR="00235854" w:rsidRPr="00235854" w:rsidRDefault="00235854" w:rsidP="00235854">
            <w:pPr>
              <w:spacing w:after="0" w:line="240" w:lineRule="auto"/>
              <w:rPr>
                <w:rFonts w:ascii="Calibri" w:eastAsia="Times New Roman" w:hAnsi="Calibri" w:cs="Times New Roman"/>
                <w:sz w:val="24"/>
                <w:szCs w:val="24"/>
                <w:lang w:eastAsia="en-GB"/>
              </w:rPr>
            </w:pPr>
            <w:r w:rsidRPr="00235854">
              <w:rPr>
                <w:rFonts w:ascii="Calibri" w:eastAsia="Times New Roman" w:hAnsi="Calibri" w:cs="Times New Roman"/>
                <w:sz w:val="24"/>
                <w:szCs w:val="24"/>
                <w:lang w:eastAsia="en-GB"/>
              </w:rPr>
              <w:t>VAT (20%)</w:t>
            </w:r>
          </w:p>
        </w:tc>
        <w:tc>
          <w:tcPr>
            <w:tcW w:w="1725" w:type="dxa"/>
          </w:tcPr>
          <w:p w14:paraId="0C3C2BD2" w14:textId="77777777" w:rsidR="00235854" w:rsidRPr="00235854" w:rsidRDefault="00235854" w:rsidP="00235854">
            <w:pPr>
              <w:spacing w:after="0" w:line="240" w:lineRule="auto"/>
              <w:jc w:val="center"/>
              <w:rPr>
                <w:rFonts w:ascii="Calibri" w:hAnsi="Calibri"/>
                <w:sz w:val="24"/>
                <w:szCs w:val="24"/>
              </w:rPr>
            </w:pPr>
            <w:r w:rsidRPr="00235854">
              <w:rPr>
                <w:rFonts w:ascii="Calibri" w:hAnsi="Calibri"/>
                <w:sz w:val="24"/>
                <w:szCs w:val="24"/>
              </w:rPr>
              <w:t>£0.80</w:t>
            </w:r>
          </w:p>
        </w:tc>
      </w:tr>
      <w:tr w:rsidR="00235854" w:rsidRPr="00235854" w14:paraId="46F43221" w14:textId="77777777" w:rsidTr="00BA0305">
        <w:trPr>
          <w:trHeight w:val="234"/>
        </w:trPr>
        <w:tc>
          <w:tcPr>
            <w:tcW w:w="5341" w:type="dxa"/>
          </w:tcPr>
          <w:p w14:paraId="25832825" w14:textId="77777777" w:rsidR="00235854" w:rsidRPr="00235854" w:rsidRDefault="00235854" w:rsidP="00235854">
            <w:pPr>
              <w:spacing w:after="0" w:line="240" w:lineRule="auto"/>
              <w:rPr>
                <w:rFonts w:ascii="Calibri" w:eastAsia="Times New Roman" w:hAnsi="Calibri" w:cs="Times New Roman"/>
                <w:sz w:val="24"/>
                <w:szCs w:val="24"/>
                <w:lang w:eastAsia="en-GB"/>
              </w:rPr>
            </w:pPr>
            <w:r w:rsidRPr="00235854">
              <w:rPr>
                <w:rFonts w:ascii="Calibri" w:eastAsia="Times New Roman" w:hAnsi="Calibri" w:cs="Times New Roman"/>
                <w:sz w:val="24"/>
                <w:szCs w:val="24"/>
                <w:lang w:eastAsia="en-GB"/>
              </w:rPr>
              <w:t>Total cost to practice</w:t>
            </w:r>
          </w:p>
        </w:tc>
        <w:tc>
          <w:tcPr>
            <w:tcW w:w="1725" w:type="dxa"/>
          </w:tcPr>
          <w:p w14:paraId="33A7C9C4" w14:textId="77777777" w:rsidR="00235854" w:rsidRPr="00235854" w:rsidRDefault="00235854" w:rsidP="00235854">
            <w:pPr>
              <w:spacing w:after="0" w:line="240" w:lineRule="auto"/>
              <w:jc w:val="center"/>
              <w:rPr>
                <w:rFonts w:ascii="Calibri" w:hAnsi="Calibri"/>
                <w:sz w:val="24"/>
                <w:szCs w:val="24"/>
              </w:rPr>
            </w:pPr>
            <w:r w:rsidRPr="00235854">
              <w:rPr>
                <w:rFonts w:ascii="Calibri" w:hAnsi="Calibri"/>
                <w:sz w:val="24"/>
                <w:szCs w:val="24"/>
              </w:rPr>
              <w:t>£4.80</w:t>
            </w:r>
          </w:p>
        </w:tc>
      </w:tr>
      <w:tr w:rsidR="00235854" w:rsidRPr="00235854" w14:paraId="24163994" w14:textId="77777777" w:rsidTr="00BA0305">
        <w:trPr>
          <w:trHeight w:val="140"/>
        </w:trPr>
        <w:tc>
          <w:tcPr>
            <w:tcW w:w="5341" w:type="dxa"/>
            <w:tcBorders>
              <w:bottom w:val="single" w:sz="4" w:space="0" w:color="auto"/>
            </w:tcBorders>
          </w:tcPr>
          <w:p w14:paraId="2133F23C" w14:textId="77777777" w:rsidR="00235854" w:rsidRPr="00235854" w:rsidRDefault="00235854" w:rsidP="00235854">
            <w:pPr>
              <w:spacing w:after="0" w:line="240" w:lineRule="auto"/>
              <w:rPr>
                <w:rFonts w:ascii="Calibri" w:eastAsia="Times New Roman" w:hAnsi="Calibri" w:cs="Times New Roman"/>
                <w:b/>
                <w:sz w:val="28"/>
                <w:szCs w:val="24"/>
                <w:lang w:eastAsia="en-GB"/>
              </w:rPr>
            </w:pPr>
            <w:r w:rsidRPr="00235854">
              <w:rPr>
                <w:rFonts w:ascii="Calibri" w:eastAsia="Times New Roman" w:hAnsi="Calibri" w:cs="Times New Roman"/>
                <w:b/>
                <w:sz w:val="28"/>
                <w:szCs w:val="24"/>
                <w:lang w:eastAsia="en-GB"/>
              </w:rPr>
              <w:t xml:space="preserve">Total Profit Per Dose (PPD) </w:t>
            </w:r>
          </w:p>
        </w:tc>
        <w:tc>
          <w:tcPr>
            <w:tcW w:w="1725" w:type="dxa"/>
          </w:tcPr>
          <w:p w14:paraId="60E09DE5" w14:textId="77777777" w:rsidR="00235854" w:rsidRPr="00235854" w:rsidRDefault="00235854" w:rsidP="00235854">
            <w:pPr>
              <w:spacing w:after="0" w:line="240" w:lineRule="auto"/>
              <w:jc w:val="center"/>
              <w:rPr>
                <w:rFonts w:ascii="Calibri" w:hAnsi="Calibri"/>
                <w:b/>
                <w:sz w:val="28"/>
                <w:szCs w:val="24"/>
              </w:rPr>
            </w:pPr>
            <w:r w:rsidRPr="00235854">
              <w:rPr>
                <w:rFonts w:ascii="Calibri" w:hAnsi="Calibri"/>
                <w:b/>
                <w:sz w:val="28"/>
                <w:szCs w:val="24"/>
              </w:rPr>
              <w:t>£7.01</w:t>
            </w:r>
          </w:p>
        </w:tc>
      </w:tr>
    </w:tbl>
    <w:p w14:paraId="3F55A2A7" w14:textId="38291B7E" w:rsidR="00235854" w:rsidRPr="00032990" w:rsidRDefault="00235854" w:rsidP="00235854">
      <w:pPr>
        <w:autoSpaceDE w:val="0"/>
        <w:autoSpaceDN w:val="0"/>
        <w:adjustRightInd w:val="0"/>
        <w:spacing w:after="0" w:line="240" w:lineRule="auto"/>
        <w:rPr>
          <w:rFonts w:ascii="Calibri" w:hAnsi="Calibri" w:cs="Calibri"/>
          <w:color w:val="000000"/>
          <w:sz w:val="24"/>
          <w:szCs w:val="24"/>
        </w:rPr>
      </w:pPr>
      <w:r w:rsidRPr="00032990">
        <w:rPr>
          <w:rFonts w:eastAsia="Times New Roman" w:cs="Times New Roman"/>
          <w:sz w:val="20"/>
        </w:rPr>
        <w:t>* The dispensing fee illustrated is for guidance purposes only and is based on a non-dispensing practice dispensing up to 4</w:t>
      </w:r>
      <w:r>
        <w:rPr>
          <w:rFonts w:eastAsia="Times New Roman" w:cs="Times New Roman"/>
          <w:sz w:val="20"/>
        </w:rPr>
        <w:t>57</w:t>
      </w:r>
      <w:r w:rsidRPr="00032990">
        <w:rPr>
          <w:rFonts w:eastAsia="Times New Roman" w:cs="Times New Roman"/>
          <w:sz w:val="20"/>
        </w:rPr>
        <w:t xml:space="preserve"> items a month under rules applying from 1 </w:t>
      </w:r>
      <w:r>
        <w:rPr>
          <w:rFonts w:eastAsia="Times New Roman" w:cs="Times New Roman"/>
          <w:sz w:val="20"/>
        </w:rPr>
        <w:t>October</w:t>
      </w:r>
      <w:r w:rsidRPr="00032990">
        <w:rPr>
          <w:rFonts w:eastAsia="Times New Roman" w:cs="Times New Roman"/>
          <w:sz w:val="20"/>
        </w:rPr>
        <w:t xml:space="preserve"> 201</w:t>
      </w:r>
      <w:r>
        <w:rPr>
          <w:rFonts w:eastAsia="Times New Roman" w:cs="Times New Roman"/>
          <w:sz w:val="20"/>
        </w:rPr>
        <w:t>7</w:t>
      </w:r>
      <w:r w:rsidRPr="00032990">
        <w:rPr>
          <w:rFonts w:eastAsia="Times New Roman" w:cs="Times New Roman"/>
          <w:sz w:val="20"/>
        </w:rPr>
        <w:t>.</w:t>
      </w:r>
    </w:p>
    <w:p w14:paraId="534DC1B3" w14:textId="77777777" w:rsidR="00235854" w:rsidRDefault="00235854" w:rsidP="00235854">
      <w:pPr>
        <w:spacing w:after="0" w:line="240" w:lineRule="auto"/>
        <w:rPr>
          <w:rFonts w:ascii="Arial" w:eastAsia="Times New Roman" w:hAnsi="Arial" w:cs="Arial"/>
          <w:b/>
          <w:bCs/>
          <w:color w:val="000000" w:themeColor="text1"/>
          <w:sz w:val="28"/>
          <w:szCs w:val="28"/>
        </w:rPr>
      </w:pPr>
    </w:p>
    <w:p w14:paraId="3998ADAF" w14:textId="77777777" w:rsidR="00235854" w:rsidRPr="00235854" w:rsidRDefault="00235854" w:rsidP="00235854">
      <w:pPr>
        <w:pStyle w:val="NoSpacing"/>
        <w:rPr>
          <w:b/>
          <w:sz w:val="24"/>
        </w:rPr>
      </w:pPr>
      <w:r w:rsidRPr="00235854">
        <w:rPr>
          <w:b/>
          <w:sz w:val="24"/>
        </w:rPr>
        <w:t>Contact Mylan</w:t>
      </w:r>
    </w:p>
    <w:p w14:paraId="314BE0F3" w14:textId="77777777" w:rsidR="00235854" w:rsidRPr="00CB41C9" w:rsidRDefault="00235854" w:rsidP="00235854">
      <w:pPr>
        <w:pStyle w:val="NoSpacing"/>
        <w:rPr>
          <w:rFonts w:eastAsia="Times New Roman" w:cstheme="minorHAnsi"/>
          <w:sz w:val="28"/>
          <w:szCs w:val="24"/>
        </w:rPr>
      </w:pPr>
      <w:r w:rsidRPr="00CB41C9">
        <w:rPr>
          <w:rFonts w:cstheme="minorHAnsi"/>
          <w:sz w:val="24"/>
        </w:rPr>
        <w:t xml:space="preserve">Tel: 0800 358 7468; Email: </w:t>
      </w:r>
      <w:r w:rsidRPr="00CB41C9">
        <w:rPr>
          <w:rStyle w:val="Hyperlink"/>
          <w:rFonts w:cstheme="minorHAnsi"/>
          <w:sz w:val="24"/>
        </w:rPr>
        <w:t>flu@mylan.com</w:t>
      </w:r>
    </w:p>
    <w:p w14:paraId="0F4B3038" w14:textId="77777777" w:rsidR="00B778D3" w:rsidRPr="00AB419D" w:rsidRDefault="00B778D3" w:rsidP="00AB419D">
      <w:pPr>
        <w:pStyle w:val="NoSpacing"/>
        <w:rPr>
          <w:sz w:val="24"/>
        </w:rPr>
      </w:pPr>
    </w:p>
    <w:sectPr w:rsidR="00B778D3" w:rsidRPr="00AB419D" w:rsidSect="00235854">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41ADF"/>
    <w:multiLevelType w:val="hybridMultilevel"/>
    <w:tmpl w:val="28FCD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37716E"/>
    <w:multiLevelType w:val="hybridMultilevel"/>
    <w:tmpl w:val="9C62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3F5BA0"/>
    <w:multiLevelType w:val="hybridMultilevel"/>
    <w:tmpl w:val="8FF8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0C3"/>
    <w:rsid w:val="00161AA1"/>
    <w:rsid w:val="00171F3F"/>
    <w:rsid w:val="00182A19"/>
    <w:rsid w:val="0019715A"/>
    <w:rsid w:val="0022065B"/>
    <w:rsid w:val="002317C4"/>
    <w:rsid w:val="00235854"/>
    <w:rsid w:val="00237A8A"/>
    <w:rsid w:val="003577E6"/>
    <w:rsid w:val="00467AD5"/>
    <w:rsid w:val="004E7CC7"/>
    <w:rsid w:val="00534917"/>
    <w:rsid w:val="00553502"/>
    <w:rsid w:val="005859E5"/>
    <w:rsid w:val="005A254C"/>
    <w:rsid w:val="005C4F49"/>
    <w:rsid w:val="005E7848"/>
    <w:rsid w:val="006A1CE7"/>
    <w:rsid w:val="0080236C"/>
    <w:rsid w:val="00822048"/>
    <w:rsid w:val="00934473"/>
    <w:rsid w:val="0096077A"/>
    <w:rsid w:val="00981E05"/>
    <w:rsid w:val="00AA3EBA"/>
    <w:rsid w:val="00AB419D"/>
    <w:rsid w:val="00B778D3"/>
    <w:rsid w:val="00BC5055"/>
    <w:rsid w:val="00CB51AA"/>
    <w:rsid w:val="00CD60C3"/>
    <w:rsid w:val="00CF5B86"/>
    <w:rsid w:val="00DB6EC0"/>
    <w:rsid w:val="00E02CB8"/>
    <w:rsid w:val="00E40CBA"/>
    <w:rsid w:val="00EE18A8"/>
    <w:rsid w:val="00FC4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0C3"/>
    <w:pPr>
      <w:spacing w:after="0" w:line="240" w:lineRule="auto"/>
    </w:pPr>
  </w:style>
  <w:style w:type="table" w:customStyle="1" w:styleId="TableGrid1">
    <w:name w:val="Table Grid1"/>
    <w:basedOn w:val="TableNormal"/>
    <w:uiPriority w:val="59"/>
    <w:rsid w:val="006A1CE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254C"/>
    <w:rPr>
      <w:color w:val="0563C1" w:themeColor="hyperlink"/>
      <w:u w:val="single"/>
    </w:rPr>
  </w:style>
  <w:style w:type="character" w:customStyle="1" w:styleId="UnresolvedMention">
    <w:name w:val="Unresolved Mention"/>
    <w:basedOn w:val="DefaultParagraphFont"/>
    <w:uiPriority w:val="99"/>
    <w:semiHidden/>
    <w:unhideWhenUsed/>
    <w:rsid w:val="005A254C"/>
    <w:rPr>
      <w:color w:val="808080"/>
      <w:shd w:val="clear" w:color="auto" w:fill="E6E6E6"/>
    </w:rPr>
  </w:style>
  <w:style w:type="table" w:styleId="TableGrid">
    <w:name w:val="Table Grid"/>
    <w:basedOn w:val="TableNormal"/>
    <w:uiPriority w:val="59"/>
    <w:rsid w:val="005A2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1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F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0C3"/>
    <w:pPr>
      <w:spacing w:after="0" w:line="240" w:lineRule="auto"/>
    </w:pPr>
  </w:style>
  <w:style w:type="table" w:customStyle="1" w:styleId="TableGrid1">
    <w:name w:val="Table Grid1"/>
    <w:basedOn w:val="TableNormal"/>
    <w:uiPriority w:val="59"/>
    <w:rsid w:val="006A1CE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254C"/>
    <w:rPr>
      <w:color w:val="0563C1" w:themeColor="hyperlink"/>
      <w:u w:val="single"/>
    </w:rPr>
  </w:style>
  <w:style w:type="character" w:customStyle="1" w:styleId="UnresolvedMention">
    <w:name w:val="Unresolved Mention"/>
    <w:basedOn w:val="DefaultParagraphFont"/>
    <w:uiPriority w:val="99"/>
    <w:semiHidden/>
    <w:unhideWhenUsed/>
    <w:rsid w:val="005A254C"/>
    <w:rPr>
      <w:color w:val="808080"/>
      <w:shd w:val="clear" w:color="auto" w:fill="E6E6E6"/>
    </w:rPr>
  </w:style>
  <w:style w:type="table" w:styleId="TableGrid">
    <w:name w:val="Table Grid"/>
    <w:basedOn w:val="TableNormal"/>
    <w:uiPriority w:val="59"/>
    <w:rsid w:val="005A2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1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F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mcbuyinggroups.co.uk" TargetMode="External"/><Relationship Id="rId13" Type="http://schemas.openxmlformats.org/officeDocument/2006/relationships/hyperlink" Target="mailto:fluteam@masta.org" TargetMode="External"/><Relationship Id="rId3" Type="http://schemas.microsoft.com/office/2007/relationships/stylesWithEffects" Target="stylesWithEffects.xml"/><Relationship Id="rId7" Type="http://schemas.openxmlformats.org/officeDocument/2006/relationships/hyperlink" Target="https://lmcbuyinggroups.co.uk/admin/resources/nhse-name-2.pdf" TargetMode="External"/><Relationship Id="rId12" Type="http://schemas.openxmlformats.org/officeDocument/2006/relationships/hyperlink" Target="mailto:vaccinesuk@pfiz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flu.salesuk@seqiru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mcbuyinggroups.co.uk/members/" TargetMode="External"/><Relationship Id="rId4" Type="http://schemas.openxmlformats.org/officeDocument/2006/relationships/settings" Target="settings.xml"/><Relationship Id="rId9" Type="http://schemas.openxmlformats.org/officeDocument/2006/relationships/hyperlink" Target="https://www.lmcbuyinggroup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838</Words>
  <Characters>4782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Shuker</dc:creator>
  <cp:lastModifiedBy>Hellens Jill (Somerset LMC)</cp:lastModifiedBy>
  <cp:revision>2</cp:revision>
  <dcterms:created xsi:type="dcterms:W3CDTF">2018-02-07T10:35:00Z</dcterms:created>
  <dcterms:modified xsi:type="dcterms:W3CDTF">2018-02-07T10:35:00Z</dcterms:modified>
</cp:coreProperties>
</file>