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E25" w:rsidRDefault="001D640C" w:rsidP="00563E25">
      <w:pPr>
        <w:pStyle w:val="NoSpacing"/>
        <w:rPr>
          <w:rFonts w:ascii="Arial" w:hAnsi="Arial" w:cs="Arial"/>
          <w:sz w:val="24"/>
          <w:szCs w:val="24"/>
        </w:rPr>
      </w:pPr>
      <w:bookmarkStart w:id="0" w:name="_GoBack"/>
      <w:bookmarkEnd w:id="0"/>
      <w:r>
        <w:rPr>
          <w:rFonts w:ascii="Arial" w:hAnsi="Arial" w:cs="Arial"/>
          <w:sz w:val="24"/>
          <w:szCs w:val="24"/>
        </w:rPr>
        <w:t xml:space="preserve">Buckinghamshire CCG </w:t>
      </w:r>
    </w:p>
    <w:p w:rsidR="001D640C" w:rsidRDefault="001D640C" w:rsidP="00563E25">
      <w:pPr>
        <w:pStyle w:val="NoSpacing"/>
        <w:rPr>
          <w:rFonts w:ascii="Arial" w:hAnsi="Arial" w:cs="Arial"/>
          <w:sz w:val="24"/>
          <w:szCs w:val="24"/>
        </w:rPr>
      </w:pPr>
      <w:r>
        <w:rPr>
          <w:rFonts w:ascii="Arial" w:hAnsi="Arial" w:cs="Arial"/>
          <w:sz w:val="24"/>
          <w:szCs w:val="24"/>
        </w:rPr>
        <w:t>Amersham Hospital</w:t>
      </w:r>
    </w:p>
    <w:p w:rsidR="001D640C" w:rsidRDefault="001D640C" w:rsidP="00563E25">
      <w:pPr>
        <w:pStyle w:val="NoSpacing"/>
        <w:rPr>
          <w:rFonts w:ascii="Arial" w:hAnsi="Arial" w:cs="Arial"/>
          <w:sz w:val="24"/>
          <w:szCs w:val="24"/>
        </w:rPr>
      </w:pPr>
      <w:r>
        <w:rPr>
          <w:rFonts w:ascii="Arial" w:hAnsi="Arial" w:cs="Arial"/>
          <w:sz w:val="24"/>
          <w:szCs w:val="24"/>
        </w:rPr>
        <w:t>Whieldon Street</w:t>
      </w:r>
    </w:p>
    <w:p w:rsidR="001D640C" w:rsidRDefault="001D640C" w:rsidP="00563E25">
      <w:pPr>
        <w:pStyle w:val="NoSpacing"/>
        <w:rPr>
          <w:rFonts w:ascii="Arial" w:hAnsi="Arial" w:cs="Arial"/>
          <w:sz w:val="24"/>
          <w:szCs w:val="24"/>
        </w:rPr>
      </w:pPr>
      <w:r>
        <w:rPr>
          <w:rFonts w:ascii="Arial" w:hAnsi="Arial" w:cs="Arial"/>
          <w:sz w:val="24"/>
          <w:szCs w:val="24"/>
        </w:rPr>
        <w:t>Amersham</w:t>
      </w:r>
    </w:p>
    <w:p w:rsidR="001D640C" w:rsidRDefault="001D640C" w:rsidP="00563E25">
      <w:pPr>
        <w:pStyle w:val="NoSpacing"/>
        <w:rPr>
          <w:rFonts w:ascii="Arial" w:hAnsi="Arial" w:cs="Arial"/>
          <w:sz w:val="24"/>
          <w:szCs w:val="24"/>
        </w:rPr>
      </w:pPr>
      <w:r>
        <w:rPr>
          <w:rFonts w:ascii="Arial" w:hAnsi="Arial" w:cs="Arial"/>
          <w:sz w:val="24"/>
          <w:szCs w:val="24"/>
        </w:rPr>
        <w:t>Buckinghamshire</w:t>
      </w:r>
    </w:p>
    <w:p w:rsidR="001D640C" w:rsidRPr="00563E25" w:rsidRDefault="001D640C" w:rsidP="00563E25">
      <w:pPr>
        <w:pStyle w:val="NoSpacing"/>
        <w:rPr>
          <w:rFonts w:ascii="Arial" w:hAnsi="Arial" w:cs="Arial"/>
          <w:b/>
          <w:sz w:val="24"/>
          <w:szCs w:val="24"/>
        </w:rPr>
      </w:pPr>
      <w:r>
        <w:rPr>
          <w:rFonts w:ascii="Arial" w:hAnsi="Arial" w:cs="Arial"/>
          <w:sz w:val="24"/>
          <w:szCs w:val="24"/>
        </w:rPr>
        <w:t>HP7 0JD</w:t>
      </w:r>
    </w:p>
    <w:p w:rsidR="00563E25" w:rsidRPr="00563E25" w:rsidRDefault="00563E25" w:rsidP="00563E25">
      <w:pPr>
        <w:pStyle w:val="NoSpacing"/>
        <w:rPr>
          <w:rFonts w:ascii="Arial" w:hAnsi="Arial" w:cs="Arial"/>
          <w:b/>
          <w:sz w:val="24"/>
          <w:szCs w:val="24"/>
        </w:rPr>
      </w:pPr>
    </w:p>
    <w:p w:rsidR="00563E25" w:rsidRPr="001D640C" w:rsidRDefault="001D640C" w:rsidP="00563E25">
      <w:pPr>
        <w:pStyle w:val="NoSpacing"/>
        <w:rPr>
          <w:rFonts w:ascii="Arial" w:hAnsi="Arial" w:cs="Arial"/>
          <w:sz w:val="24"/>
          <w:szCs w:val="24"/>
        </w:rPr>
      </w:pPr>
      <w:r w:rsidRPr="001D640C">
        <w:rPr>
          <w:rFonts w:ascii="Arial" w:hAnsi="Arial" w:cs="Arial"/>
          <w:sz w:val="24"/>
          <w:szCs w:val="24"/>
        </w:rPr>
        <w:t>21</w:t>
      </w:r>
      <w:r w:rsidRPr="001D640C">
        <w:rPr>
          <w:rFonts w:ascii="Arial" w:hAnsi="Arial" w:cs="Arial"/>
          <w:sz w:val="24"/>
          <w:szCs w:val="24"/>
          <w:vertAlign w:val="superscript"/>
        </w:rPr>
        <w:t>st</w:t>
      </w:r>
      <w:r w:rsidRPr="001D640C">
        <w:rPr>
          <w:rFonts w:ascii="Arial" w:hAnsi="Arial" w:cs="Arial"/>
          <w:sz w:val="24"/>
          <w:szCs w:val="24"/>
        </w:rPr>
        <w:t xml:space="preserve"> December 2018</w:t>
      </w:r>
    </w:p>
    <w:p w:rsidR="00563E25" w:rsidRPr="001D640C" w:rsidRDefault="00563E25" w:rsidP="00563E25">
      <w:pPr>
        <w:pStyle w:val="NoSpacing"/>
        <w:rPr>
          <w:rFonts w:ascii="Arial" w:hAnsi="Arial" w:cs="Arial"/>
          <w:sz w:val="24"/>
          <w:szCs w:val="24"/>
        </w:rPr>
      </w:pPr>
    </w:p>
    <w:p w:rsidR="00563E25" w:rsidRPr="001D640C" w:rsidRDefault="00563E25" w:rsidP="00563E25">
      <w:pPr>
        <w:pStyle w:val="NoSpacing"/>
        <w:rPr>
          <w:rFonts w:ascii="Arial" w:hAnsi="Arial" w:cs="Arial"/>
          <w:sz w:val="24"/>
          <w:szCs w:val="24"/>
        </w:rPr>
      </w:pPr>
    </w:p>
    <w:p w:rsidR="00947F44" w:rsidRPr="00947F44" w:rsidRDefault="001D640C" w:rsidP="00947F44">
      <w:pPr>
        <w:pStyle w:val="NoSpacing"/>
        <w:rPr>
          <w:rFonts w:ascii="Arial" w:hAnsi="Arial" w:cs="Arial"/>
          <w:sz w:val="24"/>
          <w:szCs w:val="24"/>
        </w:rPr>
      </w:pPr>
      <w:r w:rsidRPr="001D640C">
        <w:rPr>
          <w:rFonts w:ascii="Arial" w:hAnsi="Arial" w:cs="Arial"/>
          <w:sz w:val="24"/>
          <w:szCs w:val="24"/>
        </w:rPr>
        <w:t>Dear</w:t>
      </w:r>
      <w:r w:rsidR="00947F44">
        <w:rPr>
          <w:rFonts w:ascii="Arial" w:hAnsi="Arial" w:cs="Arial"/>
          <w:sz w:val="24"/>
          <w:szCs w:val="24"/>
        </w:rPr>
        <w:t xml:space="preserve"> </w:t>
      </w:r>
      <w:r w:rsidR="00947F44" w:rsidRPr="00947F44">
        <w:rPr>
          <w:rFonts w:ascii="Arial" w:hAnsi="Arial" w:cs="Arial"/>
          <w:sz w:val="24"/>
          <w:szCs w:val="24"/>
        </w:rPr>
        <w:t xml:space="preserve">Neil Flint, Head of Commissioning for Planned Care </w:t>
      </w:r>
    </w:p>
    <w:p w:rsidR="00947F44" w:rsidRPr="00947F44" w:rsidRDefault="00947F44" w:rsidP="00947F44">
      <w:pPr>
        <w:pStyle w:val="NoSpacing"/>
        <w:rPr>
          <w:rFonts w:ascii="Arial" w:hAnsi="Arial" w:cs="Arial"/>
          <w:sz w:val="24"/>
          <w:szCs w:val="24"/>
        </w:rPr>
      </w:pPr>
      <w:r w:rsidRPr="00947F44">
        <w:rPr>
          <w:rFonts w:ascii="Arial" w:hAnsi="Arial" w:cs="Arial"/>
          <w:sz w:val="24"/>
          <w:szCs w:val="24"/>
        </w:rPr>
        <w:t xml:space="preserve"> </w:t>
      </w:r>
    </w:p>
    <w:p w:rsidR="00563E25" w:rsidRPr="001D640C" w:rsidRDefault="00563E25" w:rsidP="00563E25">
      <w:pPr>
        <w:pStyle w:val="NoSpacing"/>
        <w:rPr>
          <w:rFonts w:ascii="Arial" w:hAnsi="Arial" w:cs="Arial"/>
          <w:sz w:val="24"/>
          <w:szCs w:val="24"/>
        </w:rPr>
      </w:pPr>
    </w:p>
    <w:p w:rsidR="008A3FCE" w:rsidRPr="001D640C" w:rsidRDefault="001D640C">
      <w:pPr>
        <w:rPr>
          <w:rFonts w:ascii="Arial" w:hAnsi="Arial" w:cs="Arial"/>
          <w:sz w:val="24"/>
          <w:szCs w:val="24"/>
        </w:rPr>
      </w:pPr>
      <w:r>
        <w:rPr>
          <w:rFonts w:ascii="Arial" w:hAnsi="Arial" w:cs="Arial"/>
          <w:sz w:val="24"/>
          <w:szCs w:val="24"/>
        </w:rPr>
        <w:t>Re:  Unfunded Non-Core GMS Services</w:t>
      </w:r>
    </w:p>
    <w:p w:rsidR="008A3FCE" w:rsidRPr="001D640C" w:rsidRDefault="001D640C">
      <w:pPr>
        <w:rPr>
          <w:rFonts w:ascii="Arial" w:hAnsi="Arial" w:cs="Arial"/>
          <w:sz w:val="24"/>
          <w:szCs w:val="24"/>
        </w:rPr>
      </w:pPr>
      <w:r>
        <w:rPr>
          <w:rFonts w:ascii="Arial" w:hAnsi="Arial" w:cs="Arial"/>
          <w:sz w:val="24"/>
          <w:szCs w:val="24"/>
        </w:rPr>
        <w:t xml:space="preserve">We write on this matter as member practices </w:t>
      </w:r>
      <w:r w:rsidR="00563E25" w:rsidRPr="001D640C">
        <w:rPr>
          <w:rFonts w:ascii="Arial" w:hAnsi="Arial" w:cs="Arial"/>
          <w:sz w:val="24"/>
          <w:szCs w:val="24"/>
        </w:rPr>
        <w:t>within the southern member practices locality of NHS Buckinghamshire Clinical Commissioning Group.</w:t>
      </w:r>
    </w:p>
    <w:p w:rsidR="00EA06E4" w:rsidRDefault="001D640C" w:rsidP="001D640C">
      <w:pPr>
        <w:rPr>
          <w:rFonts w:ascii="Arial" w:hAnsi="Arial" w:cs="Arial"/>
          <w:sz w:val="24"/>
          <w:szCs w:val="24"/>
        </w:rPr>
      </w:pPr>
      <w:r w:rsidRPr="001D640C">
        <w:rPr>
          <w:rFonts w:ascii="Arial" w:hAnsi="Arial" w:cs="Arial"/>
          <w:sz w:val="24"/>
          <w:szCs w:val="24"/>
        </w:rPr>
        <w:t xml:space="preserve">Due to increasing workload pressures, the practices in the Southern locality have audited the workload due to non-GMS work that is in other areas funded by a LES. Some practices have already ceased some of these activities and as a locality, we have discussed this today and give the CCG notice as this will impact other currently commissioned services. </w:t>
      </w:r>
      <w:r w:rsidRPr="001D640C">
        <w:rPr>
          <w:rFonts w:ascii="Arial" w:hAnsi="Arial" w:cs="Arial"/>
          <w:sz w:val="24"/>
          <w:szCs w:val="24"/>
        </w:rPr>
        <w:br/>
      </w:r>
      <w:r w:rsidRPr="001D640C">
        <w:rPr>
          <w:rFonts w:ascii="Arial" w:hAnsi="Arial" w:cs="Arial"/>
          <w:sz w:val="24"/>
          <w:szCs w:val="24"/>
        </w:rPr>
        <w:br/>
      </w:r>
      <w:r>
        <w:rPr>
          <w:rFonts w:ascii="Arial" w:hAnsi="Arial" w:cs="Arial"/>
          <w:sz w:val="24"/>
          <w:szCs w:val="24"/>
        </w:rPr>
        <w:t xml:space="preserve">1. </w:t>
      </w:r>
      <w:r w:rsidRPr="00EA06E4">
        <w:rPr>
          <w:rFonts w:ascii="Arial" w:hAnsi="Arial" w:cs="Arial"/>
          <w:b/>
          <w:sz w:val="24"/>
          <w:szCs w:val="24"/>
        </w:rPr>
        <w:t>Ear syringing</w:t>
      </w:r>
      <w:r w:rsidRPr="001D640C">
        <w:rPr>
          <w:rFonts w:ascii="Arial" w:hAnsi="Arial" w:cs="Arial"/>
          <w:sz w:val="24"/>
          <w:szCs w:val="24"/>
        </w:rPr>
        <w:t xml:space="preserve">: all of the Southern Locality practices will cease this from 1st March 2019. We will be providing information on ear care based on the Wessex LMC website and will be notifying patients in practices. Practices will continue to offer an assessment of ear problems and advice as in GMS contract. </w:t>
      </w:r>
      <w:r w:rsidRPr="001D640C">
        <w:rPr>
          <w:rFonts w:ascii="Arial" w:hAnsi="Arial" w:cs="Arial"/>
          <w:sz w:val="24"/>
          <w:szCs w:val="24"/>
        </w:rPr>
        <w:br/>
      </w:r>
      <w:r w:rsidRPr="001D640C">
        <w:rPr>
          <w:rFonts w:ascii="Arial" w:hAnsi="Arial" w:cs="Arial"/>
          <w:sz w:val="24"/>
          <w:szCs w:val="24"/>
        </w:rPr>
        <w:br/>
      </w:r>
      <w:r>
        <w:rPr>
          <w:rFonts w:ascii="Arial" w:hAnsi="Arial" w:cs="Arial"/>
          <w:sz w:val="24"/>
          <w:szCs w:val="24"/>
        </w:rPr>
        <w:t xml:space="preserve">2. </w:t>
      </w:r>
      <w:r w:rsidRPr="00EA06E4">
        <w:rPr>
          <w:rFonts w:ascii="Arial" w:hAnsi="Arial" w:cs="Arial"/>
          <w:b/>
          <w:sz w:val="24"/>
          <w:szCs w:val="24"/>
        </w:rPr>
        <w:t>24 Hr BP Monitoring</w:t>
      </w:r>
      <w:r>
        <w:rPr>
          <w:rFonts w:ascii="Arial" w:hAnsi="Arial" w:cs="Arial"/>
          <w:sz w:val="24"/>
          <w:szCs w:val="24"/>
        </w:rPr>
        <w:t>:  Southern Locality practices (</w:t>
      </w:r>
      <w:r w:rsidRPr="001D640C">
        <w:rPr>
          <w:rFonts w:ascii="Arial" w:hAnsi="Arial" w:cs="Arial"/>
          <w:sz w:val="24"/>
          <w:szCs w:val="24"/>
        </w:rPr>
        <w:t xml:space="preserve">except the Allan practice) will cease this from 1st March 2019. Some practices have already stopped and are using secondary care providers for this. </w:t>
      </w:r>
      <w:r w:rsidRPr="001D640C">
        <w:rPr>
          <w:rFonts w:ascii="Arial" w:hAnsi="Arial" w:cs="Arial"/>
          <w:sz w:val="24"/>
          <w:szCs w:val="24"/>
        </w:rPr>
        <w:br/>
      </w:r>
      <w:r w:rsidRPr="001D640C">
        <w:rPr>
          <w:rFonts w:ascii="Arial" w:hAnsi="Arial" w:cs="Arial"/>
          <w:sz w:val="24"/>
          <w:szCs w:val="24"/>
        </w:rPr>
        <w:br/>
      </w:r>
      <w:r>
        <w:rPr>
          <w:rFonts w:ascii="Arial" w:hAnsi="Arial" w:cs="Arial"/>
          <w:sz w:val="24"/>
          <w:szCs w:val="24"/>
        </w:rPr>
        <w:t xml:space="preserve">3. </w:t>
      </w:r>
      <w:r w:rsidRPr="00EA06E4">
        <w:rPr>
          <w:rFonts w:ascii="Arial" w:hAnsi="Arial" w:cs="Arial"/>
          <w:b/>
          <w:sz w:val="24"/>
          <w:szCs w:val="24"/>
        </w:rPr>
        <w:t>Spirometry for diagnosis</w:t>
      </w:r>
      <w:r w:rsidR="00EA06E4">
        <w:rPr>
          <w:rFonts w:ascii="Arial" w:hAnsi="Arial" w:cs="Arial"/>
          <w:sz w:val="24"/>
          <w:szCs w:val="24"/>
        </w:rPr>
        <w:t>:</w:t>
      </w:r>
      <w:r>
        <w:rPr>
          <w:rFonts w:ascii="Arial" w:hAnsi="Arial" w:cs="Arial"/>
          <w:sz w:val="24"/>
          <w:szCs w:val="24"/>
        </w:rPr>
        <w:t xml:space="preserve"> Southern Locality practices (</w:t>
      </w:r>
      <w:r w:rsidRPr="001D640C">
        <w:rPr>
          <w:rFonts w:ascii="Arial" w:hAnsi="Arial" w:cs="Arial"/>
          <w:sz w:val="24"/>
          <w:szCs w:val="24"/>
        </w:rPr>
        <w:t xml:space="preserve">except the Allan </w:t>
      </w:r>
      <w:r>
        <w:rPr>
          <w:rFonts w:ascii="Arial" w:hAnsi="Arial" w:cs="Arial"/>
          <w:sz w:val="24"/>
          <w:szCs w:val="24"/>
        </w:rPr>
        <w:t>pr</w:t>
      </w:r>
      <w:r w:rsidRPr="001D640C">
        <w:rPr>
          <w:rFonts w:ascii="Arial" w:hAnsi="Arial" w:cs="Arial"/>
          <w:sz w:val="24"/>
          <w:szCs w:val="24"/>
        </w:rPr>
        <w:t>actice) will cease this from 1st March 2019.</w:t>
      </w:r>
      <w:r w:rsidRPr="001D640C">
        <w:rPr>
          <w:rFonts w:ascii="Arial" w:hAnsi="Arial" w:cs="Arial"/>
          <w:sz w:val="24"/>
          <w:szCs w:val="24"/>
        </w:rPr>
        <w:br/>
      </w:r>
    </w:p>
    <w:p w:rsidR="00EA06E4" w:rsidRDefault="00EA06E4" w:rsidP="001D640C">
      <w:pPr>
        <w:rPr>
          <w:rFonts w:ascii="Arial" w:hAnsi="Arial" w:cs="Arial"/>
          <w:sz w:val="24"/>
          <w:szCs w:val="24"/>
        </w:rPr>
      </w:pPr>
    </w:p>
    <w:p w:rsidR="00EA06E4" w:rsidRPr="00EA06E4" w:rsidRDefault="00EA06E4" w:rsidP="001D640C">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Cont’d….2</w:t>
      </w:r>
    </w:p>
    <w:p w:rsidR="001D640C" w:rsidRPr="001D640C" w:rsidRDefault="001D640C" w:rsidP="001D640C">
      <w:pPr>
        <w:rPr>
          <w:rFonts w:ascii="Arial" w:hAnsi="Arial" w:cs="Arial"/>
          <w:b/>
          <w:sz w:val="24"/>
          <w:szCs w:val="24"/>
        </w:rPr>
      </w:pPr>
      <w:r w:rsidRPr="001D640C">
        <w:rPr>
          <w:rFonts w:ascii="Arial" w:hAnsi="Arial" w:cs="Arial"/>
          <w:sz w:val="24"/>
          <w:szCs w:val="24"/>
        </w:rPr>
        <w:lastRenderedPageBreak/>
        <w:br/>
      </w:r>
      <w:r w:rsidR="00EA06E4">
        <w:rPr>
          <w:rFonts w:ascii="Arial" w:hAnsi="Arial" w:cs="Arial"/>
          <w:sz w:val="24"/>
          <w:szCs w:val="24"/>
        </w:rPr>
        <w:t xml:space="preserve">4. </w:t>
      </w:r>
      <w:r w:rsidRPr="00EA06E4">
        <w:rPr>
          <w:rFonts w:ascii="Arial" w:hAnsi="Arial" w:cs="Arial"/>
          <w:b/>
          <w:sz w:val="24"/>
          <w:szCs w:val="24"/>
        </w:rPr>
        <w:t>ECG</w:t>
      </w:r>
      <w:r w:rsidR="00EA06E4" w:rsidRPr="00EA06E4">
        <w:rPr>
          <w:rFonts w:ascii="Arial" w:hAnsi="Arial" w:cs="Arial"/>
          <w:b/>
          <w:sz w:val="24"/>
          <w:szCs w:val="24"/>
        </w:rPr>
        <w:t>’s</w:t>
      </w:r>
      <w:r w:rsidRPr="001D640C">
        <w:rPr>
          <w:rFonts w:ascii="Arial" w:hAnsi="Arial" w:cs="Arial"/>
          <w:sz w:val="24"/>
          <w:szCs w:val="24"/>
        </w:rPr>
        <w:t xml:space="preserve">: Some practices are already using secondary care providers for this at Hillingdon but this is not suitable for </w:t>
      </w:r>
      <w:r w:rsidR="00EA06E4" w:rsidRPr="001D640C">
        <w:rPr>
          <w:rFonts w:ascii="Arial" w:hAnsi="Arial" w:cs="Arial"/>
          <w:sz w:val="24"/>
          <w:szCs w:val="24"/>
        </w:rPr>
        <w:t>the entire</w:t>
      </w:r>
      <w:r w:rsidRPr="001D640C">
        <w:rPr>
          <w:rFonts w:ascii="Arial" w:hAnsi="Arial" w:cs="Arial"/>
          <w:sz w:val="24"/>
          <w:szCs w:val="24"/>
        </w:rPr>
        <w:t xml:space="preserve"> locality. The locality practices will continue to provide this for the time being but will be looking to cease or be covered by a LES by August 2019.  This will impact </w:t>
      </w:r>
      <w:r w:rsidR="00EA06E4">
        <w:rPr>
          <w:rFonts w:ascii="Arial" w:hAnsi="Arial" w:cs="Arial"/>
          <w:sz w:val="24"/>
          <w:szCs w:val="24"/>
        </w:rPr>
        <w:t xml:space="preserve">upon </w:t>
      </w:r>
      <w:r w:rsidRPr="001D640C">
        <w:rPr>
          <w:rFonts w:ascii="Arial" w:hAnsi="Arial" w:cs="Arial"/>
          <w:sz w:val="24"/>
          <w:szCs w:val="24"/>
        </w:rPr>
        <w:t>e</w:t>
      </w:r>
      <w:r w:rsidR="00EA06E4">
        <w:rPr>
          <w:rFonts w:ascii="Arial" w:hAnsi="Arial" w:cs="Arial"/>
          <w:sz w:val="24"/>
          <w:szCs w:val="24"/>
        </w:rPr>
        <w:t>.</w:t>
      </w:r>
      <w:r w:rsidRPr="001D640C">
        <w:rPr>
          <w:rFonts w:ascii="Arial" w:hAnsi="Arial" w:cs="Arial"/>
          <w:sz w:val="24"/>
          <w:szCs w:val="24"/>
        </w:rPr>
        <w:t>g</w:t>
      </w:r>
      <w:r w:rsidR="00EA06E4">
        <w:rPr>
          <w:rFonts w:ascii="Arial" w:hAnsi="Arial" w:cs="Arial"/>
          <w:sz w:val="24"/>
          <w:szCs w:val="24"/>
        </w:rPr>
        <w:t>.</w:t>
      </w:r>
      <w:r w:rsidRPr="001D640C">
        <w:rPr>
          <w:rFonts w:ascii="Arial" w:hAnsi="Arial" w:cs="Arial"/>
          <w:sz w:val="24"/>
          <w:szCs w:val="24"/>
        </w:rPr>
        <w:t xml:space="preserve"> mental health providers who request ECG from primary care </w:t>
      </w:r>
      <w:r w:rsidR="00EA06E4" w:rsidRPr="001D640C">
        <w:rPr>
          <w:rFonts w:ascii="Arial" w:hAnsi="Arial" w:cs="Arial"/>
          <w:sz w:val="24"/>
          <w:szCs w:val="24"/>
        </w:rPr>
        <w:t>pre-treatment</w:t>
      </w:r>
      <w:r w:rsidRPr="001D640C">
        <w:rPr>
          <w:rFonts w:ascii="Arial" w:hAnsi="Arial" w:cs="Arial"/>
          <w:sz w:val="24"/>
          <w:szCs w:val="24"/>
        </w:rPr>
        <w:t>.</w:t>
      </w:r>
      <w:r w:rsidRPr="001D640C">
        <w:rPr>
          <w:rFonts w:ascii="Arial" w:hAnsi="Arial" w:cs="Arial"/>
          <w:sz w:val="24"/>
          <w:szCs w:val="24"/>
        </w:rPr>
        <w:br/>
      </w:r>
      <w:r w:rsidRPr="001D640C">
        <w:rPr>
          <w:rFonts w:ascii="Arial" w:hAnsi="Arial" w:cs="Arial"/>
          <w:sz w:val="24"/>
          <w:szCs w:val="24"/>
        </w:rPr>
        <w:br/>
      </w:r>
      <w:r w:rsidR="00EA06E4">
        <w:rPr>
          <w:rFonts w:ascii="Arial" w:hAnsi="Arial" w:cs="Arial"/>
          <w:sz w:val="24"/>
          <w:szCs w:val="24"/>
        </w:rPr>
        <w:t xml:space="preserve">5. </w:t>
      </w:r>
      <w:r w:rsidRPr="00EA06E4">
        <w:rPr>
          <w:rFonts w:ascii="Arial" w:hAnsi="Arial" w:cs="Arial"/>
          <w:b/>
          <w:sz w:val="24"/>
          <w:szCs w:val="24"/>
        </w:rPr>
        <w:t>Ring pessary</w:t>
      </w:r>
      <w:r w:rsidRPr="001D640C">
        <w:rPr>
          <w:rFonts w:ascii="Arial" w:hAnsi="Arial" w:cs="Arial"/>
          <w:sz w:val="24"/>
          <w:szCs w:val="24"/>
        </w:rPr>
        <w:t xml:space="preserve"> changes</w:t>
      </w:r>
      <w:r w:rsidR="00EA06E4">
        <w:rPr>
          <w:rFonts w:ascii="Arial" w:hAnsi="Arial" w:cs="Arial"/>
          <w:sz w:val="24"/>
          <w:szCs w:val="24"/>
        </w:rPr>
        <w:t xml:space="preserve">: </w:t>
      </w:r>
      <w:r w:rsidRPr="001D640C">
        <w:rPr>
          <w:rFonts w:ascii="Arial" w:hAnsi="Arial" w:cs="Arial"/>
          <w:sz w:val="24"/>
          <w:szCs w:val="24"/>
        </w:rPr>
        <w:t xml:space="preserve"> all</w:t>
      </w:r>
      <w:r w:rsidR="00EA06E4">
        <w:rPr>
          <w:rFonts w:ascii="Arial" w:hAnsi="Arial" w:cs="Arial"/>
          <w:sz w:val="24"/>
          <w:szCs w:val="24"/>
        </w:rPr>
        <w:t xml:space="preserve"> of </w:t>
      </w:r>
      <w:r w:rsidR="00EA06E4" w:rsidRPr="001D640C">
        <w:rPr>
          <w:rFonts w:ascii="Arial" w:hAnsi="Arial" w:cs="Arial"/>
          <w:sz w:val="24"/>
          <w:szCs w:val="24"/>
        </w:rPr>
        <w:t>the</w:t>
      </w:r>
      <w:r w:rsidRPr="001D640C">
        <w:rPr>
          <w:rFonts w:ascii="Arial" w:hAnsi="Arial" w:cs="Arial"/>
          <w:sz w:val="24"/>
          <w:szCs w:val="24"/>
        </w:rPr>
        <w:t xml:space="preserve"> practices will stop from 1st March</w:t>
      </w:r>
      <w:r w:rsidR="00EA06E4">
        <w:rPr>
          <w:rFonts w:ascii="Arial" w:hAnsi="Arial" w:cs="Arial"/>
          <w:sz w:val="24"/>
          <w:szCs w:val="24"/>
        </w:rPr>
        <w:t xml:space="preserve"> 2019</w:t>
      </w:r>
      <w:r w:rsidRPr="001D640C">
        <w:rPr>
          <w:rFonts w:ascii="Arial" w:hAnsi="Arial" w:cs="Arial"/>
          <w:sz w:val="24"/>
          <w:szCs w:val="24"/>
        </w:rPr>
        <w:t xml:space="preserve"> and refer back to Chiltern gynaecology. </w:t>
      </w:r>
      <w:r w:rsidRPr="001D640C">
        <w:rPr>
          <w:rFonts w:ascii="Arial" w:hAnsi="Arial" w:cs="Arial"/>
          <w:sz w:val="24"/>
          <w:szCs w:val="24"/>
        </w:rPr>
        <w:br/>
      </w:r>
      <w:r w:rsidRPr="001D640C">
        <w:rPr>
          <w:rFonts w:ascii="Arial" w:hAnsi="Arial" w:cs="Arial"/>
          <w:sz w:val="24"/>
          <w:szCs w:val="24"/>
        </w:rPr>
        <w:br/>
      </w:r>
      <w:r w:rsidR="00EA06E4">
        <w:rPr>
          <w:rFonts w:ascii="Arial" w:hAnsi="Arial" w:cs="Arial"/>
          <w:sz w:val="24"/>
          <w:szCs w:val="24"/>
        </w:rPr>
        <w:t xml:space="preserve">6. </w:t>
      </w:r>
      <w:r w:rsidRPr="00EA06E4">
        <w:rPr>
          <w:rFonts w:ascii="Arial" w:hAnsi="Arial" w:cs="Arial"/>
          <w:b/>
          <w:sz w:val="24"/>
          <w:szCs w:val="24"/>
        </w:rPr>
        <w:t>PSA monitoring</w:t>
      </w:r>
      <w:r w:rsidRPr="001D640C">
        <w:rPr>
          <w:rFonts w:ascii="Arial" w:hAnsi="Arial" w:cs="Arial"/>
          <w:sz w:val="24"/>
          <w:szCs w:val="24"/>
        </w:rPr>
        <w:t xml:space="preserve"> on 'discharge' from Urology. This is considered by the locality as not </w:t>
      </w:r>
      <w:r w:rsidR="00EA06E4">
        <w:rPr>
          <w:rFonts w:ascii="Arial" w:hAnsi="Arial" w:cs="Arial"/>
          <w:sz w:val="24"/>
          <w:szCs w:val="24"/>
        </w:rPr>
        <w:t xml:space="preserve">being </w:t>
      </w:r>
      <w:r w:rsidRPr="001D640C">
        <w:rPr>
          <w:rFonts w:ascii="Arial" w:hAnsi="Arial" w:cs="Arial"/>
          <w:sz w:val="24"/>
          <w:szCs w:val="24"/>
        </w:rPr>
        <w:t xml:space="preserve">safe as there is not a robust system for recall and monitoring PSA velocity. The locality is aware of new draft NICE guidance around this and will not be accepting a discharge to primary care for this with immediate effect. </w:t>
      </w:r>
      <w:r w:rsidRPr="001D640C">
        <w:rPr>
          <w:rFonts w:ascii="Arial" w:hAnsi="Arial" w:cs="Arial"/>
          <w:sz w:val="24"/>
          <w:szCs w:val="24"/>
        </w:rPr>
        <w:br/>
      </w:r>
      <w:r w:rsidRPr="001D640C">
        <w:rPr>
          <w:rFonts w:ascii="Arial" w:hAnsi="Arial" w:cs="Arial"/>
          <w:sz w:val="24"/>
          <w:szCs w:val="24"/>
        </w:rPr>
        <w:br/>
      </w:r>
      <w:r w:rsidR="00EA06E4">
        <w:rPr>
          <w:rFonts w:ascii="Arial" w:hAnsi="Arial" w:cs="Arial"/>
          <w:sz w:val="24"/>
          <w:szCs w:val="24"/>
        </w:rPr>
        <w:t xml:space="preserve">7. </w:t>
      </w:r>
      <w:r w:rsidRPr="00EA06E4">
        <w:rPr>
          <w:rFonts w:ascii="Arial" w:hAnsi="Arial" w:cs="Arial"/>
          <w:b/>
          <w:sz w:val="24"/>
          <w:szCs w:val="24"/>
        </w:rPr>
        <w:t>MGUS monito</w:t>
      </w:r>
      <w:r w:rsidR="00EA06E4" w:rsidRPr="00EA06E4">
        <w:rPr>
          <w:rFonts w:ascii="Arial" w:hAnsi="Arial" w:cs="Arial"/>
          <w:b/>
          <w:sz w:val="24"/>
          <w:szCs w:val="24"/>
        </w:rPr>
        <w:t>ring</w:t>
      </w:r>
      <w:r w:rsidR="00EA06E4">
        <w:rPr>
          <w:rFonts w:ascii="Arial" w:hAnsi="Arial" w:cs="Arial"/>
          <w:sz w:val="24"/>
          <w:szCs w:val="24"/>
        </w:rPr>
        <w:t>:</w:t>
      </w:r>
      <w:r w:rsidRPr="001D640C">
        <w:rPr>
          <w:rFonts w:ascii="Arial" w:hAnsi="Arial" w:cs="Arial"/>
          <w:sz w:val="24"/>
          <w:szCs w:val="24"/>
        </w:rPr>
        <w:t xml:space="preserve"> There is no robust syste</w:t>
      </w:r>
      <w:r w:rsidR="00EA06E4">
        <w:rPr>
          <w:rFonts w:ascii="Arial" w:hAnsi="Arial" w:cs="Arial"/>
          <w:sz w:val="24"/>
          <w:szCs w:val="24"/>
        </w:rPr>
        <w:t xml:space="preserve">m for recall and monitoring therefore </w:t>
      </w:r>
      <w:r w:rsidRPr="001D640C">
        <w:rPr>
          <w:rFonts w:ascii="Arial" w:hAnsi="Arial" w:cs="Arial"/>
          <w:sz w:val="24"/>
          <w:szCs w:val="24"/>
        </w:rPr>
        <w:t>the southern locality practices will not be continuing to do thi</w:t>
      </w:r>
      <w:r w:rsidR="00EA06E4">
        <w:rPr>
          <w:rFonts w:ascii="Arial" w:hAnsi="Arial" w:cs="Arial"/>
          <w:sz w:val="24"/>
          <w:szCs w:val="24"/>
        </w:rPr>
        <w:t>s. We are aware that Haematology at</w:t>
      </w:r>
      <w:r w:rsidRPr="001D640C">
        <w:rPr>
          <w:rFonts w:ascii="Arial" w:hAnsi="Arial" w:cs="Arial"/>
          <w:sz w:val="24"/>
          <w:szCs w:val="24"/>
        </w:rPr>
        <w:t xml:space="preserve"> BHT </w:t>
      </w:r>
      <w:r w:rsidR="00114CAD" w:rsidRPr="001D640C">
        <w:rPr>
          <w:rFonts w:ascii="Arial" w:hAnsi="Arial" w:cs="Arial"/>
          <w:sz w:val="24"/>
          <w:szCs w:val="24"/>
        </w:rPr>
        <w:t>has</w:t>
      </w:r>
      <w:r w:rsidRPr="001D640C">
        <w:rPr>
          <w:rFonts w:ascii="Arial" w:hAnsi="Arial" w:cs="Arial"/>
          <w:sz w:val="24"/>
          <w:szCs w:val="24"/>
        </w:rPr>
        <w:t xml:space="preserve"> recently declined a refer</w:t>
      </w:r>
      <w:r w:rsidR="00EA06E4">
        <w:rPr>
          <w:rFonts w:ascii="Arial" w:hAnsi="Arial" w:cs="Arial"/>
          <w:sz w:val="24"/>
          <w:szCs w:val="24"/>
        </w:rPr>
        <w:t>ral from The Hall Practice as they</w:t>
      </w:r>
      <w:r w:rsidRPr="001D640C">
        <w:rPr>
          <w:rFonts w:ascii="Arial" w:hAnsi="Arial" w:cs="Arial"/>
          <w:sz w:val="24"/>
          <w:szCs w:val="24"/>
        </w:rPr>
        <w:t xml:space="preserve"> were not going to provide the monit</w:t>
      </w:r>
      <w:r w:rsidR="00114CAD">
        <w:rPr>
          <w:rFonts w:ascii="Arial" w:hAnsi="Arial" w:cs="Arial"/>
          <w:sz w:val="24"/>
          <w:szCs w:val="24"/>
        </w:rPr>
        <w:t xml:space="preserve">oring </w:t>
      </w:r>
      <w:r w:rsidR="00114CAD" w:rsidRPr="001D640C">
        <w:rPr>
          <w:rFonts w:ascii="Arial" w:hAnsi="Arial" w:cs="Arial"/>
          <w:sz w:val="24"/>
          <w:szCs w:val="24"/>
        </w:rPr>
        <w:t>this need</w:t>
      </w:r>
      <w:r w:rsidR="00114CAD">
        <w:rPr>
          <w:rFonts w:ascii="Arial" w:hAnsi="Arial" w:cs="Arial"/>
          <w:sz w:val="24"/>
          <w:szCs w:val="24"/>
        </w:rPr>
        <w:t>s</w:t>
      </w:r>
      <w:r w:rsidRPr="001D640C">
        <w:rPr>
          <w:rFonts w:ascii="Arial" w:hAnsi="Arial" w:cs="Arial"/>
          <w:sz w:val="24"/>
          <w:szCs w:val="24"/>
        </w:rPr>
        <w:t xml:space="preserve"> to be clearer as to the referral pathway</w:t>
      </w:r>
      <w:r w:rsidR="00EA06E4">
        <w:rPr>
          <w:rFonts w:ascii="Arial" w:hAnsi="Arial" w:cs="Arial"/>
          <w:sz w:val="24"/>
          <w:szCs w:val="24"/>
        </w:rPr>
        <w:t>.</w:t>
      </w:r>
    </w:p>
    <w:p w:rsidR="00EA06E4" w:rsidRDefault="00EA06E4" w:rsidP="00C35389">
      <w:pPr>
        <w:pStyle w:val="NoSpacing"/>
        <w:rPr>
          <w:rFonts w:ascii="Arial" w:hAnsi="Arial" w:cs="Arial"/>
          <w:sz w:val="24"/>
          <w:szCs w:val="24"/>
        </w:rPr>
      </w:pPr>
    </w:p>
    <w:p w:rsidR="005E7080" w:rsidRPr="00C35389" w:rsidRDefault="00EA06E4" w:rsidP="00C35389">
      <w:pPr>
        <w:pStyle w:val="NoSpacing"/>
        <w:rPr>
          <w:rFonts w:ascii="Arial" w:hAnsi="Arial" w:cs="Arial"/>
          <w:sz w:val="24"/>
          <w:szCs w:val="24"/>
        </w:rPr>
      </w:pPr>
      <w:r>
        <w:rPr>
          <w:rFonts w:ascii="Arial" w:hAnsi="Arial" w:cs="Arial"/>
          <w:sz w:val="24"/>
          <w:szCs w:val="24"/>
        </w:rPr>
        <w:t>Yours sincerely</w:t>
      </w:r>
    </w:p>
    <w:p w:rsidR="00C35389" w:rsidRDefault="00C35389" w:rsidP="00C35389">
      <w:pPr>
        <w:pStyle w:val="NoSpacing"/>
        <w:rPr>
          <w:rFonts w:ascii="Arial" w:hAnsi="Arial" w:cs="Arial"/>
          <w:sz w:val="24"/>
          <w:szCs w:val="24"/>
        </w:rPr>
      </w:pPr>
      <w:r w:rsidRPr="00C35389">
        <w:rPr>
          <w:rFonts w:ascii="Arial" w:hAnsi="Arial" w:cs="Arial"/>
          <w:sz w:val="24"/>
          <w:szCs w:val="24"/>
        </w:rPr>
        <w:t>For and on behalf of</w:t>
      </w:r>
    </w:p>
    <w:p w:rsidR="00EA06E4" w:rsidRDefault="00EA06E4" w:rsidP="00C35389">
      <w:pPr>
        <w:pStyle w:val="NoSpacing"/>
        <w:rPr>
          <w:rFonts w:ascii="Arial" w:hAnsi="Arial" w:cs="Arial"/>
          <w:sz w:val="24"/>
          <w:szCs w:val="24"/>
        </w:rPr>
      </w:pPr>
      <w:r>
        <w:rPr>
          <w:rFonts w:ascii="Arial" w:hAnsi="Arial" w:cs="Arial"/>
          <w:sz w:val="24"/>
          <w:szCs w:val="24"/>
        </w:rPr>
        <w:t>The So</w:t>
      </w:r>
      <w:r w:rsidR="00867ED0">
        <w:rPr>
          <w:rFonts w:ascii="Arial" w:hAnsi="Arial" w:cs="Arial"/>
          <w:sz w:val="24"/>
          <w:szCs w:val="24"/>
        </w:rPr>
        <w:t>u</w:t>
      </w:r>
      <w:r>
        <w:rPr>
          <w:rFonts w:ascii="Arial" w:hAnsi="Arial" w:cs="Arial"/>
          <w:sz w:val="24"/>
          <w:szCs w:val="24"/>
        </w:rPr>
        <w:t>thern Locality Practices</w:t>
      </w:r>
    </w:p>
    <w:p w:rsidR="00EA06E4" w:rsidRDefault="00EA06E4" w:rsidP="00C35389">
      <w:pPr>
        <w:pStyle w:val="NoSpacing"/>
        <w:rPr>
          <w:rFonts w:ascii="Arial" w:hAnsi="Arial" w:cs="Arial"/>
          <w:sz w:val="24"/>
          <w:szCs w:val="24"/>
        </w:rPr>
      </w:pPr>
    </w:p>
    <w:p w:rsidR="00EA06E4" w:rsidRDefault="00EA06E4" w:rsidP="00C35389">
      <w:pPr>
        <w:pStyle w:val="NoSpacing"/>
        <w:rPr>
          <w:rFonts w:ascii="Arial" w:hAnsi="Arial" w:cs="Arial"/>
          <w:sz w:val="24"/>
          <w:szCs w:val="24"/>
        </w:rPr>
      </w:pPr>
    </w:p>
    <w:p w:rsidR="00EA06E4" w:rsidRPr="00C35389" w:rsidRDefault="00EA06E4" w:rsidP="00C35389">
      <w:pPr>
        <w:pStyle w:val="NoSpacing"/>
        <w:rPr>
          <w:rFonts w:ascii="Arial" w:hAnsi="Arial" w:cs="Arial"/>
          <w:sz w:val="24"/>
          <w:szCs w:val="24"/>
        </w:rPr>
      </w:pPr>
      <w:r>
        <w:rPr>
          <w:rFonts w:ascii="Arial" w:hAnsi="Arial" w:cs="Arial"/>
          <w:sz w:val="24"/>
          <w:szCs w:val="24"/>
        </w:rPr>
        <w:t>Allen, Denham, Hall, Ivers, Misbourne, Threeways and Southmead</w:t>
      </w:r>
    </w:p>
    <w:p w:rsidR="00FA71BA" w:rsidRDefault="00FA71BA" w:rsidP="00C35389">
      <w:pPr>
        <w:pStyle w:val="ListParagraph"/>
        <w:ind w:left="0"/>
        <w:rPr>
          <w:color w:val="0070C0"/>
          <w:sz w:val="28"/>
          <w:szCs w:val="28"/>
        </w:rPr>
      </w:pPr>
    </w:p>
    <w:p w:rsidR="00947F44" w:rsidRDefault="00947F44" w:rsidP="00C35389">
      <w:pPr>
        <w:pStyle w:val="ListParagraph"/>
        <w:ind w:left="0"/>
        <w:rPr>
          <w:color w:val="0070C0"/>
          <w:sz w:val="28"/>
          <w:szCs w:val="28"/>
        </w:rPr>
      </w:pPr>
    </w:p>
    <w:p w:rsidR="00947F44" w:rsidRDefault="00947F44" w:rsidP="00C35389">
      <w:pPr>
        <w:pStyle w:val="ListParagraph"/>
        <w:ind w:left="0"/>
        <w:rPr>
          <w:color w:val="0070C0"/>
          <w:sz w:val="28"/>
          <w:szCs w:val="28"/>
        </w:rPr>
      </w:pPr>
    </w:p>
    <w:p w:rsidR="00947F44" w:rsidRDefault="00947F44" w:rsidP="00C35389">
      <w:pPr>
        <w:pStyle w:val="ListParagraph"/>
        <w:ind w:left="0"/>
        <w:rPr>
          <w:color w:val="0070C0"/>
          <w:sz w:val="28"/>
          <w:szCs w:val="28"/>
        </w:rPr>
      </w:pPr>
    </w:p>
    <w:p w:rsidR="00947F44" w:rsidRPr="00947F44" w:rsidRDefault="00947F44" w:rsidP="00947F44">
      <w:pPr>
        <w:pStyle w:val="NoSpacing"/>
      </w:pPr>
      <w:r>
        <w:t>C.C.</w:t>
      </w:r>
    </w:p>
    <w:p w:rsidR="00947F44" w:rsidRPr="00947F44" w:rsidRDefault="00947F44" w:rsidP="00947F44">
      <w:pPr>
        <w:pStyle w:val="NoSpacing"/>
        <w:rPr>
          <w:rFonts w:ascii="Arial" w:hAnsi="Arial" w:cs="Arial"/>
        </w:rPr>
      </w:pPr>
      <w:r w:rsidRPr="00947F44">
        <w:rPr>
          <w:rFonts w:ascii="Arial" w:hAnsi="Arial" w:cs="Arial"/>
        </w:rPr>
        <w:t xml:space="preserve">Dr Raj Bajwa, Chair </w:t>
      </w:r>
    </w:p>
    <w:p w:rsidR="00947F44" w:rsidRPr="00947F44" w:rsidRDefault="00947F44" w:rsidP="00947F44">
      <w:pPr>
        <w:pStyle w:val="NoSpacing"/>
        <w:rPr>
          <w:rFonts w:ascii="Arial" w:hAnsi="Arial" w:cs="Arial"/>
        </w:rPr>
      </w:pPr>
      <w:r w:rsidRPr="00947F44">
        <w:rPr>
          <w:rFonts w:ascii="Arial" w:hAnsi="Arial" w:cs="Arial"/>
        </w:rPr>
        <w:t xml:space="preserve">Helen Delaitre, Associate Director of Primary Care </w:t>
      </w:r>
    </w:p>
    <w:p w:rsidR="00947F44" w:rsidRPr="00947F44" w:rsidRDefault="00947F44" w:rsidP="00947F44">
      <w:pPr>
        <w:pStyle w:val="NoSpacing"/>
        <w:rPr>
          <w:rFonts w:ascii="Arial" w:hAnsi="Arial" w:cs="Arial"/>
          <w:sz w:val="24"/>
          <w:szCs w:val="24"/>
        </w:rPr>
      </w:pPr>
    </w:p>
    <w:sectPr w:rsidR="00947F44" w:rsidRPr="00947F44" w:rsidSect="00C35389">
      <w:headerReference w:type="default" r:id="rId8"/>
      <w:footerReference w:type="default" r:id="rId9"/>
      <w:pgSz w:w="11906" w:h="16838"/>
      <w:pgMar w:top="1531" w:right="1440" w:bottom="1843" w:left="1440" w:header="426" w:footer="5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F6D" w:rsidRDefault="00F41F6D" w:rsidP="008A3FCE">
      <w:pPr>
        <w:spacing w:after="0" w:line="240" w:lineRule="auto"/>
      </w:pPr>
      <w:r>
        <w:separator/>
      </w:r>
    </w:p>
  </w:endnote>
  <w:endnote w:type="continuationSeparator" w:id="0">
    <w:p w:rsidR="00F41F6D" w:rsidRDefault="00F41F6D" w:rsidP="008A3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6E4" w:rsidRDefault="00EA06E4" w:rsidP="00EA06E4">
    <w:pPr>
      <w:ind w:left="-567"/>
      <w:jc w:val="center"/>
      <w:rPr>
        <w:color w:val="0070C0"/>
      </w:rPr>
    </w:pPr>
    <w:r w:rsidRPr="00563E25">
      <w:rPr>
        <w:color w:val="0070C0"/>
      </w:rPr>
      <w:t xml:space="preserve">Southern Locality Practices: </w:t>
    </w:r>
  </w:p>
  <w:p w:rsidR="00EA06E4" w:rsidRPr="00563E25" w:rsidRDefault="00EA06E4" w:rsidP="00EA06E4">
    <w:pPr>
      <w:ind w:left="-567"/>
      <w:jc w:val="center"/>
      <w:rPr>
        <w:color w:val="0070C0"/>
      </w:rPr>
    </w:pPr>
    <w:r w:rsidRPr="00563E25">
      <w:rPr>
        <w:color w:val="0070C0"/>
      </w:rPr>
      <w:t xml:space="preserve"> Allan</w:t>
    </w:r>
    <w:r>
      <w:rPr>
        <w:color w:val="0070C0"/>
      </w:rPr>
      <w:t xml:space="preserve"> </w:t>
    </w:r>
    <w:r>
      <w:rPr>
        <w:rFonts w:ascii="Gautami" w:hAnsi="Gautami" w:cs="Gautami"/>
        <w:color w:val="333333"/>
        <w:sz w:val="16"/>
        <w:szCs w:val="16"/>
      </w:rPr>
      <w:t>∙</w:t>
    </w:r>
    <w:r w:rsidRPr="00563E25">
      <w:rPr>
        <w:color w:val="0070C0"/>
      </w:rPr>
      <w:t xml:space="preserve"> Burnham</w:t>
    </w:r>
    <w:r>
      <w:rPr>
        <w:color w:val="0070C0"/>
      </w:rPr>
      <w:t xml:space="preserve"> </w:t>
    </w:r>
    <w:r>
      <w:rPr>
        <w:rFonts w:ascii="Gautami" w:hAnsi="Gautami" w:cs="Gautami"/>
        <w:color w:val="333333"/>
        <w:sz w:val="16"/>
        <w:szCs w:val="16"/>
      </w:rPr>
      <w:t>∙</w:t>
    </w:r>
    <w:r w:rsidRPr="00563E25">
      <w:rPr>
        <w:color w:val="0070C0"/>
      </w:rPr>
      <w:t xml:space="preserve"> Denham </w:t>
    </w:r>
    <w:r>
      <w:rPr>
        <w:rFonts w:ascii="Gautami" w:hAnsi="Gautami" w:cs="Gautami"/>
        <w:color w:val="333333"/>
        <w:sz w:val="16"/>
        <w:szCs w:val="16"/>
      </w:rPr>
      <w:t xml:space="preserve">∙ </w:t>
    </w:r>
    <w:r w:rsidRPr="00563E25">
      <w:rPr>
        <w:color w:val="0070C0"/>
      </w:rPr>
      <w:t xml:space="preserve">Hall </w:t>
    </w:r>
    <w:r>
      <w:rPr>
        <w:rFonts w:ascii="Gautami" w:hAnsi="Gautami" w:cs="Gautami"/>
        <w:color w:val="333333"/>
        <w:sz w:val="16"/>
        <w:szCs w:val="16"/>
      </w:rPr>
      <w:t xml:space="preserve">∙ </w:t>
    </w:r>
    <w:r w:rsidRPr="004D541B">
      <w:rPr>
        <w:rFonts w:ascii="Arial" w:hAnsi="Arial" w:cs="Arial"/>
        <w:color w:val="0070C0"/>
        <w:sz w:val="20"/>
        <w:szCs w:val="20"/>
      </w:rPr>
      <w:t>Ivers</w:t>
    </w:r>
    <w:r>
      <w:rPr>
        <w:rFonts w:ascii="Arial" w:hAnsi="Arial" w:cs="Arial"/>
        <w:color w:val="0070C0"/>
        <w:sz w:val="20"/>
        <w:szCs w:val="20"/>
      </w:rPr>
      <w:t xml:space="preserve"> </w:t>
    </w:r>
    <w:r>
      <w:rPr>
        <w:rFonts w:ascii="Gautami" w:hAnsi="Gautami" w:cs="Gautami"/>
        <w:color w:val="333333"/>
        <w:sz w:val="16"/>
        <w:szCs w:val="16"/>
      </w:rPr>
      <w:t>∙</w:t>
    </w:r>
    <w:r w:rsidRPr="004D541B">
      <w:rPr>
        <w:rFonts w:ascii="Arial" w:hAnsi="Arial" w:cs="Arial"/>
        <w:color w:val="333333"/>
      </w:rPr>
      <w:t xml:space="preserve"> </w:t>
    </w:r>
    <w:r w:rsidRPr="00EA06E4">
      <w:rPr>
        <w:rFonts w:ascii="Arial" w:hAnsi="Arial" w:cs="Arial"/>
        <w:color w:val="0070C0"/>
        <w:sz w:val="20"/>
        <w:szCs w:val="20"/>
      </w:rPr>
      <w:t>Misbourne</w:t>
    </w:r>
    <w:r>
      <w:rPr>
        <w:rFonts w:ascii="Arial" w:hAnsi="Arial" w:cs="Arial"/>
        <w:color w:val="333333"/>
      </w:rPr>
      <w:t xml:space="preserve"> </w:t>
    </w:r>
    <w:r>
      <w:rPr>
        <w:rFonts w:ascii="Gautami" w:hAnsi="Gautami" w:cs="Gautami"/>
        <w:color w:val="333333"/>
        <w:sz w:val="16"/>
        <w:szCs w:val="16"/>
      </w:rPr>
      <w:t>∙</w:t>
    </w:r>
    <w:r w:rsidRPr="00563E25">
      <w:rPr>
        <w:color w:val="0070C0"/>
      </w:rPr>
      <w:t xml:space="preserve">Threeways </w:t>
    </w:r>
    <w:r>
      <w:rPr>
        <w:rFonts w:ascii="Gautami" w:hAnsi="Gautami" w:cs="Gautami"/>
        <w:color w:val="333333"/>
        <w:sz w:val="16"/>
        <w:szCs w:val="16"/>
      </w:rPr>
      <w:t xml:space="preserve">∙ </w:t>
    </w:r>
    <w:r w:rsidRPr="00563E25">
      <w:rPr>
        <w:color w:val="0070C0"/>
      </w:rPr>
      <w:t>Sout</w:t>
    </w:r>
    <w:r>
      <w:rPr>
        <w:color w:val="0070C0"/>
      </w:rPr>
      <w:t>h</w:t>
    </w:r>
    <w:r w:rsidRPr="00563E25">
      <w:rPr>
        <w:color w:val="0070C0"/>
      </w:rPr>
      <w:t>mead</w:t>
    </w:r>
  </w:p>
  <w:p w:rsidR="00563E25" w:rsidRPr="00563E25" w:rsidRDefault="00563E25">
    <w:pPr>
      <w:pStyle w:val="Footer"/>
      <w:rPr>
        <w:rFonts w:ascii="Arial" w:hAnsi="Arial" w:cs="Arial"/>
        <w:b/>
        <w:color w:val="0070C0"/>
      </w:rPr>
    </w:pPr>
    <w:r w:rsidRPr="00563E25">
      <w:rPr>
        <w:rFonts w:ascii="Arial" w:hAnsi="Arial" w:cs="Arial"/>
        <w:color w:val="0070C0"/>
      </w:rPr>
      <w:t>Executive offices: Amersham Hospital</w:t>
    </w:r>
    <w:r w:rsidRPr="00563E25">
      <w:rPr>
        <w:rFonts w:ascii="Arial" w:hAnsi="Arial" w:cs="Arial"/>
        <w:b/>
        <w:color w:val="0070C0"/>
      </w:rPr>
      <w:t xml:space="preserve"> ∙ </w:t>
    </w:r>
    <w:r w:rsidRPr="00563E25">
      <w:rPr>
        <w:rFonts w:ascii="Arial" w:hAnsi="Arial" w:cs="Arial"/>
        <w:color w:val="0070C0"/>
      </w:rPr>
      <w:t xml:space="preserve">Whieldon Street </w:t>
    </w:r>
    <w:r w:rsidRPr="00563E25">
      <w:rPr>
        <w:rFonts w:ascii="Arial" w:hAnsi="Arial" w:cs="Arial"/>
        <w:b/>
        <w:color w:val="0070C0"/>
      </w:rPr>
      <w:t xml:space="preserve">∙ </w:t>
    </w:r>
    <w:r w:rsidRPr="00563E25">
      <w:rPr>
        <w:rFonts w:ascii="Arial" w:hAnsi="Arial" w:cs="Arial"/>
        <w:color w:val="0070C0"/>
      </w:rPr>
      <w:t xml:space="preserve">Amersham </w:t>
    </w:r>
    <w:r w:rsidRPr="00563E25">
      <w:rPr>
        <w:rFonts w:ascii="Arial" w:hAnsi="Arial" w:cs="Arial"/>
        <w:b/>
        <w:color w:val="0070C0"/>
      </w:rPr>
      <w:t>∙</w:t>
    </w:r>
    <w:r w:rsidRPr="00563E25">
      <w:rPr>
        <w:rFonts w:ascii="Arial" w:hAnsi="Arial" w:cs="Arial"/>
        <w:color w:val="0070C0"/>
      </w:rPr>
      <w:t xml:space="preserve"> Bucks </w:t>
    </w:r>
    <w:r w:rsidRPr="00563E25">
      <w:rPr>
        <w:rFonts w:ascii="Arial" w:hAnsi="Arial" w:cs="Arial"/>
        <w:b/>
        <w:color w:val="0070C0"/>
      </w:rPr>
      <w:t>∙</w:t>
    </w:r>
    <w:r w:rsidRPr="00563E25">
      <w:rPr>
        <w:rFonts w:ascii="Arial" w:hAnsi="Arial" w:cs="Arial"/>
        <w:color w:val="0070C0"/>
      </w:rPr>
      <w:t xml:space="preserve"> HP7 0JD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F6D" w:rsidRDefault="00F41F6D" w:rsidP="008A3FCE">
      <w:pPr>
        <w:spacing w:after="0" w:line="240" w:lineRule="auto"/>
      </w:pPr>
      <w:r>
        <w:separator/>
      </w:r>
    </w:p>
  </w:footnote>
  <w:footnote w:type="continuationSeparator" w:id="0">
    <w:p w:rsidR="00F41F6D" w:rsidRDefault="00F41F6D" w:rsidP="008A3F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FCE" w:rsidRDefault="008A3FCE" w:rsidP="004D541B">
    <w:pPr>
      <w:jc w:val="center"/>
      <w:rPr>
        <w:color w:val="0070C0"/>
        <w:sz w:val="28"/>
        <w:szCs w:val="28"/>
      </w:rPr>
    </w:pPr>
    <w:r>
      <w:rPr>
        <w:noProof/>
        <w:lang w:eastAsia="en-GB"/>
      </w:rPr>
      <w:drawing>
        <wp:inline distT="0" distB="0" distL="0" distR="0" wp14:anchorId="468EBBB6" wp14:editId="6CC4177F">
          <wp:extent cx="1152525" cy="465996"/>
          <wp:effectExtent l="0" t="0" r="0" b="0"/>
          <wp:docPr id="2" name="Picture 2" descr="C:\Users\A west\AppData\Local\Microsoft\Windows\Temporary Internet Files\Content.IE5\BZQ8RBZU\1024px-NHS-Logo.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 west\AppData\Local\Microsoft\Windows\Temporary Internet Files\Content.IE5\BZQ8RBZU\1024px-NHS-Logo.svg[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4399" cy="466754"/>
                  </a:xfrm>
                  <a:prstGeom prst="rect">
                    <a:avLst/>
                  </a:prstGeom>
                  <a:noFill/>
                  <a:ln>
                    <a:noFill/>
                  </a:ln>
                </pic:spPr>
              </pic:pic>
            </a:graphicData>
          </a:graphic>
        </wp:inline>
      </w:drawing>
    </w:r>
    <w:r w:rsidR="004D541B">
      <w:rPr>
        <w:b/>
        <w:sz w:val="40"/>
        <w:szCs w:val="40"/>
      </w:rPr>
      <w:t xml:space="preserve"> </w:t>
    </w:r>
    <w:r w:rsidRPr="008A3FCE">
      <w:rPr>
        <w:b/>
        <w:sz w:val="40"/>
        <w:szCs w:val="40"/>
      </w:rPr>
      <w:t>Buckinghamshire</w:t>
    </w:r>
    <w:r w:rsidRPr="008A3FCE">
      <w:rPr>
        <w:sz w:val="32"/>
        <w:szCs w:val="32"/>
      </w:rPr>
      <w:t xml:space="preserve"> </w:t>
    </w:r>
    <w:r w:rsidRPr="008A3FCE">
      <w:rPr>
        <w:color w:val="0070C0"/>
        <w:sz w:val="28"/>
        <w:szCs w:val="28"/>
      </w:rPr>
      <w:t>Clinical Commissioning Group</w:t>
    </w:r>
  </w:p>
  <w:p w:rsidR="00EA06E4" w:rsidRDefault="008A3FCE" w:rsidP="004D541B">
    <w:pPr>
      <w:jc w:val="center"/>
      <w:rPr>
        <w:color w:val="0070C0"/>
      </w:rPr>
    </w:pPr>
    <w:r w:rsidRPr="00563E25">
      <w:rPr>
        <w:color w:val="0070C0"/>
      </w:rPr>
      <w:t xml:space="preserve">Southern Locality Practices: </w:t>
    </w:r>
  </w:p>
  <w:p w:rsidR="008A3FCE" w:rsidRPr="00563E25" w:rsidRDefault="008A3FCE" w:rsidP="004D541B">
    <w:pPr>
      <w:jc w:val="center"/>
      <w:rPr>
        <w:color w:val="0070C0"/>
      </w:rPr>
    </w:pPr>
    <w:r w:rsidRPr="00563E25">
      <w:rPr>
        <w:color w:val="0070C0"/>
      </w:rPr>
      <w:t xml:space="preserve"> Allan</w:t>
    </w:r>
    <w:r w:rsidR="00563E25">
      <w:rPr>
        <w:color w:val="0070C0"/>
      </w:rPr>
      <w:t xml:space="preserve"> </w:t>
    </w:r>
    <w:r w:rsidR="00563E25">
      <w:rPr>
        <w:rFonts w:ascii="Gautami" w:hAnsi="Gautami" w:cs="Gautami"/>
        <w:color w:val="333333"/>
        <w:sz w:val="16"/>
        <w:szCs w:val="16"/>
      </w:rPr>
      <w:t>∙</w:t>
    </w:r>
    <w:r w:rsidRPr="00563E25">
      <w:rPr>
        <w:color w:val="0070C0"/>
      </w:rPr>
      <w:t xml:space="preserve"> Burnham</w:t>
    </w:r>
    <w:r w:rsidR="00563E25">
      <w:rPr>
        <w:color w:val="0070C0"/>
      </w:rPr>
      <w:t xml:space="preserve"> </w:t>
    </w:r>
    <w:r w:rsidR="00563E25">
      <w:rPr>
        <w:rFonts w:ascii="Gautami" w:hAnsi="Gautami" w:cs="Gautami"/>
        <w:color w:val="333333"/>
        <w:sz w:val="16"/>
        <w:szCs w:val="16"/>
      </w:rPr>
      <w:t>∙</w:t>
    </w:r>
    <w:r w:rsidRPr="00563E25">
      <w:rPr>
        <w:color w:val="0070C0"/>
      </w:rPr>
      <w:t xml:space="preserve"> Denham </w:t>
    </w:r>
    <w:r w:rsidR="00563E25">
      <w:rPr>
        <w:rFonts w:ascii="Gautami" w:hAnsi="Gautami" w:cs="Gautami"/>
        <w:color w:val="333333"/>
        <w:sz w:val="16"/>
        <w:szCs w:val="16"/>
      </w:rPr>
      <w:t xml:space="preserve">∙ </w:t>
    </w:r>
    <w:r w:rsidRPr="00563E25">
      <w:rPr>
        <w:color w:val="0070C0"/>
      </w:rPr>
      <w:t xml:space="preserve">Hall </w:t>
    </w:r>
    <w:r w:rsidR="00563E25">
      <w:rPr>
        <w:rFonts w:ascii="Gautami" w:hAnsi="Gautami" w:cs="Gautami"/>
        <w:color w:val="333333"/>
        <w:sz w:val="16"/>
        <w:szCs w:val="16"/>
      </w:rPr>
      <w:t xml:space="preserve">∙ </w:t>
    </w:r>
    <w:r w:rsidR="004D541B" w:rsidRPr="004D541B">
      <w:rPr>
        <w:rFonts w:ascii="Arial" w:hAnsi="Arial" w:cs="Arial"/>
        <w:color w:val="0070C0"/>
        <w:sz w:val="20"/>
        <w:szCs w:val="20"/>
      </w:rPr>
      <w:t>Ivers</w:t>
    </w:r>
    <w:r w:rsidR="004D541B">
      <w:rPr>
        <w:rFonts w:ascii="Arial" w:hAnsi="Arial" w:cs="Arial"/>
        <w:color w:val="0070C0"/>
        <w:sz w:val="20"/>
        <w:szCs w:val="20"/>
      </w:rPr>
      <w:t xml:space="preserve"> </w:t>
    </w:r>
    <w:r w:rsidR="004D541B">
      <w:rPr>
        <w:rFonts w:ascii="Gautami" w:hAnsi="Gautami" w:cs="Gautami"/>
        <w:color w:val="333333"/>
        <w:sz w:val="16"/>
        <w:szCs w:val="16"/>
      </w:rPr>
      <w:t>∙</w:t>
    </w:r>
    <w:r w:rsidR="004D541B" w:rsidRPr="004D541B">
      <w:rPr>
        <w:rFonts w:ascii="Arial" w:hAnsi="Arial" w:cs="Arial"/>
        <w:color w:val="333333"/>
      </w:rPr>
      <w:t xml:space="preserve"> </w:t>
    </w:r>
    <w:r w:rsidR="00EA06E4" w:rsidRPr="00EA06E4">
      <w:rPr>
        <w:rFonts w:ascii="Arial" w:hAnsi="Arial" w:cs="Arial"/>
        <w:color w:val="0070C0"/>
        <w:sz w:val="20"/>
        <w:szCs w:val="20"/>
      </w:rPr>
      <w:t xml:space="preserve">Misbourne </w:t>
    </w:r>
    <w:r w:rsidR="00EA06E4">
      <w:rPr>
        <w:rFonts w:ascii="Gautami" w:hAnsi="Gautami" w:cs="Gautami"/>
        <w:color w:val="333333"/>
        <w:sz w:val="16"/>
        <w:szCs w:val="16"/>
      </w:rPr>
      <w:t xml:space="preserve">∙ </w:t>
    </w:r>
    <w:r w:rsidRPr="00563E25">
      <w:rPr>
        <w:color w:val="0070C0"/>
      </w:rPr>
      <w:t xml:space="preserve">Threeways </w:t>
    </w:r>
    <w:r w:rsidR="00563E25">
      <w:rPr>
        <w:rFonts w:ascii="Gautami" w:hAnsi="Gautami" w:cs="Gautami"/>
        <w:color w:val="333333"/>
        <w:sz w:val="16"/>
        <w:szCs w:val="16"/>
      </w:rPr>
      <w:t xml:space="preserve">∙ </w:t>
    </w:r>
    <w:r w:rsidRPr="00563E25">
      <w:rPr>
        <w:color w:val="0070C0"/>
      </w:rPr>
      <w:t>Sout</w:t>
    </w:r>
    <w:r w:rsidR="00563E25">
      <w:rPr>
        <w:color w:val="0070C0"/>
      </w:rPr>
      <w:t>h</w:t>
    </w:r>
    <w:r w:rsidRPr="00563E25">
      <w:rPr>
        <w:color w:val="0070C0"/>
      </w:rPr>
      <w:t>mead</w:t>
    </w:r>
  </w:p>
  <w:p w:rsidR="008A3FCE" w:rsidRDefault="008A3F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54B23"/>
    <w:multiLevelType w:val="hybridMultilevel"/>
    <w:tmpl w:val="8A2A1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8F7C36"/>
    <w:multiLevelType w:val="hybridMultilevel"/>
    <w:tmpl w:val="ECDC3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F11738"/>
    <w:multiLevelType w:val="hybridMultilevel"/>
    <w:tmpl w:val="C996073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FCE"/>
    <w:rsid w:val="00114CAD"/>
    <w:rsid w:val="001328CE"/>
    <w:rsid w:val="001D640C"/>
    <w:rsid w:val="004D541B"/>
    <w:rsid w:val="00563E25"/>
    <w:rsid w:val="005A4F85"/>
    <w:rsid w:val="005B06E3"/>
    <w:rsid w:val="005C5E37"/>
    <w:rsid w:val="005E7080"/>
    <w:rsid w:val="00867ED0"/>
    <w:rsid w:val="008A3FCE"/>
    <w:rsid w:val="009276F9"/>
    <w:rsid w:val="00947F44"/>
    <w:rsid w:val="00B4012A"/>
    <w:rsid w:val="00C35389"/>
    <w:rsid w:val="00EA06E4"/>
    <w:rsid w:val="00F16AFA"/>
    <w:rsid w:val="00F41F6D"/>
    <w:rsid w:val="00FA7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FCE"/>
    <w:rPr>
      <w:rFonts w:ascii="Tahoma" w:hAnsi="Tahoma" w:cs="Tahoma"/>
      <w:sz w:val="16"/>
      <w:szCs w:val="16"/>
    </w:rPr>
  </w:style>
  <w:style w:type="paragraph" w:styleId="Header">
    <w:name w:val="header"/>
    <w:basedOn w:val="Normal"/>
    <w:link w:val="HeaderChar"/>
    <w:uiPriority w:val="99"/>
    <w:unhideWhenUsed/>
    <w:rsid w:val="008A3F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FCE"/>
  </w:style>
  <w:style w:type="paragraph" w:styleId="Footer">
    <w:name w:val="footer"/>
    <w:basedOn w:val="Normal"/>
    <w:link w:val="FooterChar"/>
    <w:uiPriority w:val="99"/>
    <w:unhideWhenUsed/>
    <w:rsid w:val="008A3F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FCE"/>
  </w:style>
  <w:style w:type="paragraph" w:styleId="ListParagraph">
    <w:name w:val="List Paragraph"/>
    <w:basedOn w:val="Normal"/>
    <w:uiPriority w:val="34"/>
    <w:qFormat/>
    <w:rsid w:val="008A3FCE"/>
    <w:pPr>
      <w:ind w:left="720"/>
      <w:contextualSpacing/>
    </w:pPr>
  </w:style>
  <w:style w:type="paragraph" w:styleId="NoSpacing">
    <w:name w:val="No Spacing"/>
    <w:uiPriority w:val="1"/>
    <w:qFormat/>
    <w:rsid w:val="00563E2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FCE"/>
    <w:rPr>
      <w:rFonts w:ascii="Tahoma" w:hAnsi="Tahoma" w:cs="Tahoma"/>
      <w:sz w:val="16"/>
      <w:szCs w:val="16"/>
    </w:rPr>
  </w:style>
  <w:style w:type="paragraph" w:styleId="Header">
    <w:name w:val="header"/>
    <w:basedOn w:val="Normal"/>
    <w:link w:val="HeaderChar"/>
    <w:uiPriority w:val="99"/>
    <w:unhideWhenUsed/>
    <w:rsid w:val="008A3F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FCE"/>
  </w:style>
  <w:style w:type="paragraph" w:styleId="Footer">
    <w:name w:val="footer"/>
    <w:basedOn w:val="Normal"/>
    <w:link w:val="FooterChar"/>
    <w:uiPriority w:val="99"/>
    <w:unhideWhenUsed/>
    <w:rsid w:val="008A3F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FCE"/>
  </w:style>
  <w:style w:type="paragraph" w:styleId="ListParagraph">
    <w:name w:val="List Paragraph"/>
    <w:basedOn w:val="Normal"/>
    <w:uiPriority w:val="34"/>
    <w:qFormat/>
    <w:rsid w:val="008A3FCE"/>
    <w:pPr>
      <w:ind w:left="720"/>
      <w:contextualSpacing/>
    </w:pPr>
  </w:style>
  <w:style w:type="paragraph" w:styleId="NoSpacing">
    <w:name w:val="No Spacing"/>
    <w:uiPriority w:val="1"/>
    <w:qFormat/>
    <w:rsid w:val="00563E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206376">
      <w:bodyDiv w:val="1"/>
      <w:marLeft w:val="0"/>
      <w:marRight w:val="0"/>
      <w:marTop w:val="0"/>
      <w:marBottom w:val="0"/>
      <w:divBdr>
        <w:top w:val="none" w:sz="0" w:space="0" w:color="auto"/>
        <w:left w:val="none" w:sz="0" w:space="0" w:color="auto"/>
        <w:bottom w:val="none" w:sz="0" w:space="0" w:color="auto"/>
        <w:right w:val="none" w:sz="0" w:space="0" w:color="auto"/>
      </w:divBdr>
      <w:divsChild>
        <w:div w:id="312024998">
          <w:marLeft w:val="0"/>
          <w:marRight w:val="0"/>
          <w:marTop w:val="0"/>
          <w:marBottom w:val="0"/>
          <w:divBdr>
            <w:top w:val="none" w:sz="0" w:space="0" w:color="auto"/>
            <w:left w:val="none" w:sz="0" w:space="0" w:color="auto"/>
            <w:bottom w:val="none" w:sz="0" w:space="0" w:color="auto"/>
            <w:right w:val="none" w:sz="0" w:space="0" w:color="auto"/>
          </w:divBdr>
          <w:divsChild>
            <w:div w:id="1526560450">
              <w:marLeft w:val="0"/>
              <w:marRight w:val="0"/>
              <w:marTop w:val="0"/>
              <w:marBottom w:val="0"/>
              <w:divBdr>
                <w:top w:val="none" w:sz="0" w:space="0" w:color="auto"/>
                <w:left w:val="none" w:sz="0" w:space="0" w:color="auto"/>
                <w:bottom w:val="none" w:sz="0" w:space="0" w:color="auto"/>
                <w:right w:val="none" w:sz="0" w:space="0" w:color="auto"/>
              </w:divBdr>
              <w:divsChild>
                <w:div w:id="1124499444">
                  <w:marLeft w:val="0"/>
                  <w:marRight w:val="0"/>
                  <w:marTop w:val="0"/>
                  <w:marBottom w:val="0"/>
                  <w:divBdr>
                    <w:top w:val="none" w:sz="0" w:space="0" w:color="auto"/>
                    <w:left w:val="none" w:sz="0" w:space="0" w:color="auto"/>
                    <w:bottom w:val="none" w:sz="0" w:space="0" w:color="auto"/>
                    <w:right w:val="none" w:sz="0" w:space="0" w:color="auto"/>
                  </w:divBdr>
                  <w:divsChild>
                    <w:div w:id="315381090">
                      <w:marLeft w:val="0"/>
                      <w:marRight w:val="0"/>
                      <w:marTop w:val="0"/>
                      <w:marBottom w:val="0"/>
                      <w:divBdr>
                        <w:top w:val="none" w:sz="0" w:space="0" w:color="auto"/>
                        <w:left w:val="none" w:sz="0" w:space="0" w:color="auto"/>
                        <w:bottom w:val="none" w:sz="0" w:space="0" w:color="auto"/>
                        <w:right w:val="none" w:sz="0" w:space="0" w:color="auto"/>
                      </w:divBdr>
                      <w:divsChild>
                        <w:div w:id="1317883426">
                          <w:marLeft w:val="0"/>
                          <w:marRight w:val="0"/>
                          <w:marTop w:val="0"/>
                          <w:marBottom w:val="0"/>
                          <w:divBdr>
                            <w:top w:val="none" w:sz="0" w:space="0" w:color="auto"/>
                            <w:left w:val="none" w:sz="0" w:space="0" w:color="auto"/>
                            <w:bottom w:val="none" w:sz="0" w:space="0" w:color="auto"/>
                            <w:right w:val="none" w:sz="0" w:space="0" w:color="auto"/>
                          </w:divBdr>
                          <w:divsChild>
                            <w:div w:id="115374337">
                              <w:marLeft w:val="0"/>
                              <w:marRight w:val="0"/>
                              <w:marTop w:val="0"/>
                              <w:marBottom w:val="0"/>
                              <w:divBdr>
                                <w:top w:val="none" w:sz="0" w:space="0" w:color="auto"/>
                                <w:left w:val="single" w:sz="6" w:space="0" w:color="E5E3E3"/>
                                <w:bottom w:val="none" w:sz="0" w:space="0" w:color="auto"/>
                                <w:right w:val="none" w:sz="0" w:space="0" w:color="auto"/>
                              </w:divBdr>
                              <w:divsChild>
                                <w:div w:id="1219319494">
                                  <w:marLeft w:val="0"/>
                                  <w:marRight w:val="0"/>
                                  <w:marTop w:val="0"/>
                                  <w:marBottom w:val="0"/>
                                  <w:divBdr>
                                    <w:top w:val="none" w:sz="0" w:space="0" w:color="auto"/>
                                    <w:left w:val="none" w:sz="0" w:space="0" w:color="auto"/>
                                    <w:bottom w:val="none" w:sz="0" w:space="0" w:color="auto"/>
                                    <w:right w:val="none" w:sz="0" w:space="0" w:color="auto"/>
                                  </w:divBdr>
                                  <w:divsChild>
                                    <w:div w:id="936905861">
                                      <w:marLeft w:val="0"/>
                                      <w:marRight w:val="0"/>
                                      <w:marTop w:val="0"/>
                                      <w:marBottom w:val="0"/>
                                      <w:divBdr>
                                        <w:top w:val="none" w:sz="0" w:space="0" w:color="auto"/>
                                        <w:left w:val="none" w:sz="0" w:space="0" w:color="auto"/>
                                        <w:bottom w:val="none" w:sz="0" w:space="0" w:color="auto"/>
                                        <w:right w:val="none" w:sz="0" w:space="0" w:color="auto"/>
                                      </w:divBdr>
                                      <w:divsChild>
                                        <w:div w:id="358551908">
                                          <w:marLeft w:val="0"/>
                                          <w:marRight w:val="0"/>
                                          <w:marTop w:val="0"/>
                                          <w:marBottom w:val="0"/>
                                          <w:divBdr>
                                            <w:top w:val="none" w:sz="0" w:space="0" w:color="auto"/>
                                            <w:left w:val="none" w:sz="0" w:space="0" w:color="auto"/>
                                            <w:bottom w:val="none" w:sz="0" w:space="0" w:color="auto"/>
                                            <w:right w:val="none" w:sz="0" w:space="0" w:color="auto"/>
                                          </w:divBdr>
                                          <w:divsChild>
                                            <w:div w:id="83578729">
                                              <w:marLeft w:val="0"/>
                                              <w:marRight w:val="0"/>
                                              <w:marTop w:val="0"/>
                                              <w:marBottom w:val="0"/>
                                              <w:divBdr>
                                                <w:top w:val="none" w:sz="0" w:space="0" w:color="auto"/>
                                                <w:left w:val="none" w:sz="0" w:space="0" w:color="auto"/>
                                                <w:bottom w:val="none" w:sz="0" w:space="0" w:color="auto"/>
                                                <w:right w:val="none" w:sz="0" w:space="0" w:color="auto"/>
                                              </w:divBdr>
                                              <w:divsChild>
                                                <w:div w:id="1705978579">
                                                  <w:marLeft w:val="0"/>
                                                  <w:marRight w:val="0"/>
                                                  <w:marTop w:val="0"/>
                                                  <w:marBottom w:val="0"/>
                                                  <w:divBdr>
                                                    <w:top w:val="none" w:sz="0" w:space="0" w:color="auto"/>
                                                    <w:left w:val="none" w:sz="0" w:space="0" w:color="auto"/>
                                                    <w:bottom w:val="none" w:sz="0" w:space="0" w:color="auto"/>
                                                    <w:right w:val="none" w:sz="0" w:space="0" w:color="auto"/>
                                                  </w:divBdr>
                                                  <w:divsChild>
                                                    <w:div w:id="61683758">
                                                      <w:marLeft w:val="0"/>
                                                      <w:marRight w:val="0"/>
                                                      <w:marTop w:val="0"/>
                                                      <w:marBottom w:val="0"/>
                                                      <w:divBdr>
                                                        <w:top w:val="none" w:sz="0" w:space="0" w:color="auto"/>
                                                        <w:left w:val="none" w:sz="0" w:space="0" w:color="auto"/>
                                                        <w:bottom w:val="none" w:sz="0" w:space="0" w:color="auto"/>
                                                        <w:right w:val="none" w:sz="0" w:space="0" w:color="auto"/>
                                                      </w:divBdr>
                                                      <w:divsChild>
                                                        <w:div w:id="507062572">
                                                          <w:marLeft w:val="480"/>
                                                          <w:marRight w:val="0"/>
                                                          <w:marTop w:val="0"/>
                                                          <w:marBottom w:val="0"/>
                                                          <w:divBdr>
                                                            <w:top w:val="none" w:sz="0" w:space="0" w:color="auto"/>
                                                            <w:left w:val="none" w:sz="0" w:space="0" w:color="auto"/>
                                                            <w:bottom w:val="none" w:sz="0" w:space="0" w:color="auto"/>
                                                            <w:right w:val="none" w:sz="0" w:space="0" w:color="auto"/>
                                                          </w:divBdr>
                                                          <w:divsChild>
                                                            <w:div w:id="1784761090">
                                                              <w:marLeft w:val="0"/>
                                                              <w:marRight w:val="0"/>
                                                              <w:marTop w:val="0"/>
                                                              <w:marBottom w:val="0"/>
                                                              <w:divBdr>
                                                                <w:top w:val="none" w:sz="0" w:space="0" w:color="auto"/>
                                                                <w:left w:val="none" w:sz="0" w:space="0" w:color="auto"/>
                                                                <w:bottom w:val="none" w:sz="0" w:space="0" w:color="auto"/>
                                                                <w:right w:val="none" w:sz="0" w:space="0" w:color="auto"/>
                                                              </w:divBdr>
                                                              <w:divsChild>
                                                                <w:div w:id="2075351302">
                                                                  <w:marLeft w:val="0"/>
                                                                  <w:marRight w:val="0"/>
                                                                  <w:marTop w:val="0"/>
                                                                  <w:marBottom w:val="0"/>
                                                                  <w:divBdr>
                                                                    <w:top w:val="none" w:sz="0" w:space="0" w:color="auto"/>
                                                                    <w:left w:val="none" w:sz="0" w:space="0" w:color="auto"/>
                                                                    <w:bottom w:val="none" w:sz="0" w:space="0" w:color="auto"/>
                                                                    <w:right w:val="none" w:sz="0" w:space="0" w:color="auto"/>
                                                                  </w:divBdr>
                                                                  <w:divsChild>
                                                                    <w:div w:id="683362295">
                                                                      <w:marLeft w:val="0"/>
                                                                      <w:marRight w:val="0"/>
                                                                      <w:marTop w:val="0"/>
                                                                      <w:marBottom w:val="0"/>
                                                                      <w:divBdr>
                                                                        <w:top w:val="none" w:sz="0" w:space="0" w:color="auto"/>
                                                                        <w:left w:val="none" w:sz="0" w:space="0" w:color="auto"/>
                                                                        <w:bottom w:val="none" w:sz="0" w:space="0" w:color="auto"/>
                                                                        <w:right w:val="none" w:sz="0" w:space="0" w:color="auto"/>
                                                                      </w:divBdr>
                                                                      <w:divsChild>
                                                                        <w:div w:id="126819311">
                                                                          <w:marLeft w:val="0"/>
                                                                          <w:marRight w:val="0"/>
                                                                          <w:marTop w:val="0"/>
                                                                          <w:marBottom w:val="0"/>
                                                                          <w:divBdr>
                                                                            <w:top w:val="none" w:sz="0" w:space="0" w:color="auto"/>
                                                                            <w:left w:val="none" w:sz="0" w:space="0" w:color="auto"/>
                                                                            <w:bottom w:val="none" w:sz="0" w:space="0" w:color="auto"/>
                                                                            <w:right w:val="none" w:sz="0" w:space="0" w:color="auto"/>
                                                                          </w:divBdr>
                                                                          <w:divsChild>
                                                                            <w:div w:id="1122307193">
                                                                              <w:marLeft w:val="0"/>
                                                                              <w:marRight w:val="0"/>
                                                                              <w:marTop w:val="0"/>
                                                                              <w:marBottom w:val="0"/>
                                                                              <w:divBdr>
                                                                                <w:top w:val="none" w:sz="0" w:space="0" w:color="auto"/>
                                                                                <w:left w:val="none" w:sz="0" w:space="0" w:color="auto"/>
                                                                                <w:bottom w:val="none" w:sz="0" w:space="0" w:color="auto"/>
                                                                                <w:right w:val="none" w:sz="0" w:space="0" w:color="auto"/>
                                                                              </w:divBdr>
                                                                              <w:divsChild>
                                                                                <w:div w:id="1909537024">
                                                                                  <w:marLeft w:val="0"/>
                                                                                  <w:marRight w:val="0"/>
                                                                                  <w:marTop w:val="0"/>
                                                                                  <w:marBottom w:val="0"/>
                                                                                  <w:divBdr>
                                                                                    <w:top w:val="none" w:sz="0" w:space="0" w:color="auto"/>
                                                                                    <w:left w:val="none" w:sz="0" w:space="0" w:color="auto"/>
                                                                                    <w:bottom w:val="single" w:sz="6" w:space="23" w:color="auto"/>
                                                                                    <w:right w:val="none" w:sz="0" w:space="0" w:color="auto"/>
                                                                                  </w:divBdr>
                                                                                  <w:divsChild>
                                                                                    <w:div w:id="577640232">
                                                                                      <w:marLeft w:val="0"/>
                                                                                      <w:marRight w:val="0"/>
                                                                                      <w:marTop w:val="0"/>
                                                                                      <w:marBottom w:val="0"/>
                                                                                      <w:divBdr>
                                                                                        <w:top w:val="none" w:sz="0" w:space="0" w:color="auto"/>
                                                                                        <w:left w:val="none" w:sz="0" w:space="0" w:color="auto"/>
                                                                                        <w:bottom w:val="none" w:sz="0" w:space="0" w:color="auto"/>
                                                                                        <w:right w:val="none" w:sz="0" w:space="0" w:color="auto"/>
                                                                                      </w:divBdr>
                                                                                      <w:divsChild>
                                                                                        <w:div w:id="1064109294">
                                                                                          <w:marLeft w:val="0"/>
                                                                                          <w:marRight w:val="0"/>
                                                                                          <w:marTop w:val="0"/>
                                                                                          <w:marBottom w:val="0"/>
                                                                                          <w:divBdr>
                                                                                            <w:top w:val="none" w:sz="0" w:space="0" w:color="auto"/>
                                                                                            <w:left w:val="none" w:sz="0" w:space="0" w:color="auto"/>
                                                                                            <w:bottom w:val="none" w:sz="0" w:space="0" w:color="auto"/>
                                                                                            <w:right w:val="none" w:sz="0" w:space="0" w:color="auto"/>
                                                                                          </w:divBdr>
                                                                                          <w:divsChild>
                                                                                            <w:div w:id="66533955">
                                                                                              <w:marLeft w:val="0"/>
                                                                                              <w:marRight w:val="0"/>
                                                                                              <w:marTop w:val="0"/>
                                                                                              <w:marBottom w:val="0"/>
                                                                                              <w:divBdr>
                                                                                                <w:top w:val="none" w:sz="0" w:space="0" w:color="auto"/>
                                                                                                <w:left w:val="none" w:sz="0" w:space="0" w:color="auto"/>
                                                                                                <w:bottom w:val="none" w:sz="0" w:space="0" w:color="auto"/>
                                                                                                <w:right w:val="none" w:sz="0" w:space="0" w:color="auto"/>
                                                                                              </w:divBdr>
                                                                                              <w:divsChild>
                                                                                                <w:div w:id="1586567563">
                                                                                                  <w:marLeft w:val="0"/>
                                                                                                  <w:marRight w:val="0"/>
                                                                                                  <w:marTop w:val="0"/>
                                                                                                  <w:marBottom w:val="0"/>
                                                                                                  <w:divBdr>
                                                                                                    <w:top w:val="none" w:sz="0" w:space="0" w:color="auto"/>
                                                                                                    <w:left w:val="none" w:sz="0" w:space="0" w:color="auto"/>
                                                                                                    <w:bottom w:val="none" w:sz="0" w:space="0" w:color="auto"/>
                                                                                                    <w:right w:val="none" w:sz="0" w:space="0" w:color="auto"/>
                                                                                                  </w:divBdr>
                                                                                                  <w:divsChild>
                                                                                                    <w:div w:id="15198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West</dc:creator>
  <cp:lastModifiedBy>GP</cp:lastModifiedBy>
  <cp:revision>2</cp:revision>
  <dcterms:created xsi:type="dcterms:W3CDTF">2018-12-28T17:37:00Z</dcterms:created>
  <dcterms:modified xsi:type="dcterms:W3CDTF">2018-12-28T17:37:00Z</dcterms:modified>
</cp:coreProperties>
</file>